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7A2EE" w14:textId="77777777" w:rsidR="00FF6FB3" w:rsidRPr="002B4C22" w:rsidRDefault="00FF6FB3" w:rsidP="00FF6FB3">
      <w:pPr>
        <w:spacing w:after="0" w:line="276" w:lineRule="auto"/>
        <w:contextualSpacing/>
        <w:jc w:val="center"/>
        <w:rPr>
          <w:rFonts w:cs="Times New Roman"/>
          <w:b/>
          <w:caps/>
          <w:sz w:val="22"/>
          <w:szCs w:val="22"/>
        </w:rPr>
      </w:pPr>
      <w:r w:rsidRPr="002B4C22">
        <w:rPr>
          <w:rFonts w:cs="Times New Roman"/>
          <w:b/>
          <w:caps/>
          <w:sz w:val="22"/>
          <w:szCs w:val="22"/>
        </w:rPr>
        <w:t>Emerging Issues in Financial Regulation</w:t>
      </w:r>
    </w:p>
    <w:p w14:paraId="1B6273F5" w14:textId="77777777" w:rsidR="00FF6FB3" w:rsidRPr="002B4C22" w:rsidRDefault="00FF6FB3" w:rsidP="00FF6FB3">
      <w:pPr>
        <w:spacing w:after="0" w:line="276" w:lineRule="auto"/>
        <w:contextualSpacing/>
        <w:rPr>
          <w:rFonts w:cs="Times New Roman"/>
          <w:sz w:val="22"/>
          <w:szCs w:val="22"/>
        </w:rPr>
      </w:pPr>
    </w:p>
    <w:p w14:paraId="2B073C45" w14:textId="77777777" w:rsidR="00FF6FB3" w:rsidRPr="002B4C22" w:rsidRDefault="00FF6FB3" w:rsidP="00FF6FB3">
      <w:pPr>
        <w:spacing w:after="0" w:line="276" w:lineRule="auto"/>
        <w:contextualSpacing/>
        <w:jc w:val="center"/>
        <w:rPr>
          <w:rFonts w:cs="Times New Roman"/>
          <w:sz w:val="22"/>
          <w:szCs w:val="22"/>
        </w:rPr>
      </w:pPr>
      <w:r w:rsidRPr="002B4C22">
        <w:rPr>
          <w:rFonts w:cs="Times New Roman"/>
          <w:sz w:val="22"/>
          <w:szCs w:val="22"/>
        </w:rPr>
        <w:t>Compressed Course</w:t>
      </w:r>
    </w:p>
    <w:p w14:paraId="4F9FFABB" w14:textId="44254A73" w:rsidR="00FF6FB3" w:rsidRPr="002B4C22" w:rsidRDefault="00FF6FB3" w:rsidP="0046033C">
      <w:pPr>
        <w:spacing w:after="0" w:line="276" w:lineRule="auto"/>
        <w:contextualSpacing/>
        <w:jc w:val="center"/>
        <w:rPr>
          <w:rFonts w:cs="Times New Roman"/>
          <w:sz w:val="22"/>
          <w:szCs w:val="22"/>
        </w:rPr>
      </w:pPr>
      <w:r w:rsidRPr="002B4C22">
        <w:rPr>
          <w:rFonts w:cs="Times New Roman"/>
          <w:sz w:val="22"/>
          <w:szCs w:val="22"/>
        </w:rPr>
        <w:t>University of Florida</w:t>
      </w:r>
      <w:r w:rsidR="0046033C">
        <w:rPr>
          <w:rFonts w:cs="Times New Roman"/>
          <w:sz w:val="22"/>
          <w:szCs w:val="22"/>
        </w:rPr>
        <w:t xml:space="preserve"> </w:t>
      </w:r>
      <w:r w:rsidRPr="002B4C22">
        <w:rPr>
          <w:rFonts w:cs="Times New Roman"/>
          <w:sz w:val="22"/>
          <w:szCs w:val="22"/>
        </w:rPr>
        <w:t>Levin College of Law</w:t>
      </w:r>
    </w:p>
    <w:p w14:paraId="4762C5B4" w14:textId="77777777" w:rsidR="00FF6FB3" w:rsidRPr="002B4C22" w:rsidRDefault="00FF6FB3" w:rsidP="00FF6FB3">
      <w:pPr>
        <w:spacing w:after="0" w:line="276" w:lineRule="auto"/>
        <w:contextualSpacing/>
        <w:jc w:val="center"/>
        <w:rPr>
          <w:rFonts w:cs="Times New Roman"/>
          <w:sz w:val="22"/>
          <w:szCs w:val="22"/>
        </w:rPr>
      </w:pPr>
      <w:r>
        <w:rPr>
          <w:rFonts w:cs="Times New Roman"/>
          <w:sz w:val="22"/>
          <w:szCs w:val="22"/>
        </w:rPr>
        <w:t>August 12-15, 2024</w:t>
      </w:r>
    </w:p>
    <w:p w14:paraId="33476834" w14:textId="77777777" w:rsidR="00FF6FB3" w:rsidRPr="002B4C22" w:rsidRDefault="00FF6FB3" w:rsidP="00FF6FB3">
      <w:pPr>
        <w:spacing w:after="0" w:line="276" w:lineRule="auto"/>
        <w:contextualSpacing/>
        <w:rPr>
          <w:rFonts w:cs="Times New Roman"/>
          <w:sz w:val="22"/>
          <w:szCs w:val="22"/>
        </w:rPr>
      </w:pPr>
    </w:p>
    <w:p w14:paraId="55755640" w14:textId="77777777" w:rsidR="00FF6FB3" w:rsidRPr="002B4C22" w:rsidRDefault="00FF6FB3" w:rsidP="00FF6FB3">
      <w:pPr>
        <w:pStyle w:val="ListParagraph"/>
        <w:spacing w:after="0" w:line="276" w:lineRule="auto"/>
        <w:ind w:left="0"/>
        <w:rPr>
          <w:rFonts w:cs="Times New Roman"/>
          <w:b/>
          <w:sz w:val="22"/>
          <w:szCs w:val="22"/>
        </w:rPr>
      </w:pPr>
      <w:r w:rsidRPr="002B4C22">
        <w:rPr>
          <w:rFonts w:cs="Times New Roman"/>
          <w:b/>
          <w:sz w:val="22"/>
          <w:szCs w:val="22"/>
        </w:rPr>
        <w:t xml:space="preserve">Your adjunct professors for the course </w:t>
      </w:r>
    </w:p>
    <w:p w14:paraId="117ABA68" w14:textId="77777777" w:rsidR="00FF6FB3" w:rsidRPr="002B4C22" w:rsidRDefault="00FF6FB3" w:rsidP="00FF6FB3">
      <w:pPr>
        <w:pStyle w:val="ListParagraph"/>
        <w:spacing w:after="0" w:line="276" w:lineRule="auto"/>
        <w:ind w:left="0"/>
        <w:rPr>
          <w:rFonts w:cs="Times New Roman"/>
          <w:b/>
          <w:sz w:val="22"/>
          <w:szCs w:val="22"/>
        </w:rPr>
      </w:pPr>
    </w:p>
    <w:p w14:paraId="2C4DE380" w14:textId="77777777" w:rsidR="00FF6FB3" w:rsidRPr="002B4C22" w:rsidRDefault="00FF6FB3" w:rsidP="00FF6FB3">
      <w:pPr>
        <w:pStyle w:val="ListParagraph"/>
        <w:spacing w:after="0" w:line="276" w:lineRule="auto"/>
        <w:jc w:val="both"/>
        <w:rPr>
          <w:rFonts w:cs="Times New Roman"/>
          <w:sz w:val="22"/>
          <w:szCs w:val="22"/>
        </w:rPr>
      </w:pPr>
      <w:r w:rsidRPr="002B4C22">
        <w:rPr>
          <w:rFonts w:cs="Times New Roman"/>
          <w:sz w:val="22"/>
          <w:szCs w:val="22"/>
        </w:rPr>
        <w:t>Stephen Liverpool</w:t>
      </w:r>
    </w:p>
    <w:p w14:paraId="431D766C" w14:textId="77777777" w:rsidR="00FF6FB3" w:rsidRPr="002B4C22" w:rsidRDefault="00FF6FB3" w:rsidP="00FF6FB3">
      <w:pPr>
        <w:pStyle w:val="ListParagraph"/>
        <w:spacing w:after="0" w:line="276" w:lineRule="auto"/>
        <w:jc w:val="both"/>
        <w:rPr>
          <w:rFonts w:cs="Times New Roman"/>
          <w:sz w:val="22"/>
          <w:szCs w:val="22"/>
        </w:rPr>
      </w:pPr>
      <w:r w:rsidRPr="002B4C22">
        <w:rPr>
          <w:rFonts w:cs="Times New Roman"/>
          <w:sz w:val="22"/>
          <w:szCs w:val="22"/>
        </w:rPr>
        <w:t>Senior Vice President and General Counsel, Raymond James Bank</w:t>
      </w:r>
    </w:p>
    <w:p w14:paraId="412E8A32" w14:textId="77777777" w:rsidR="00FF6FB3" w:rsidRPr="002B4C22" w:rsidRDefault="00FF6FB3" w:rsidP="00FF6FB3">
      <w:pPr>
        <w:pStyle w:val="ListParagraph"/>
        <w:spacing w:after="0" w:line="276" w:lineRule="auto"/>
        <w:jc w:val="both"/>
        <w:rPr>
          <w:rFonts w:cs="Times New Roman"/>
          <w:sz w:val="22"/>
          <w:szCs w:val="22"/>
        </w:rPr>
      </w:pPr>
      <w:r w:rsidRPr="002B4C22">
        <w:rPr>
          <w:rFonts w:cs="Times New Roman"/>
          <w:sz w:val="22"/>
          <w:szCs w:val="22"/>
        </w:rPr>
        <w:t>Email address: Stephen.Liverpool@RaymondJames.com</w:t>
      </w:r>
    </w:p>
    <w:p w14:paraId="3178682C" w14:textId="77777777" w:rsidR="00FF6FB3" w:rsidRPr="002B4C22" w:rsidRDefault="00FF6FB3" w:rsidP="00FF6FB3">
      <w:pPr>
        <w:pStyle w:val="ListParagraph"/>
        <w:spacing w:after="0" w:line="276" w:lineRule="auto"/>
        <w:jc w:val="both"/>
        <w:rPr>
          <w:rFonts w:cs="Times New Roman"/>
          <w:sz w:val="22"/>
          <w:szCs w:val="22"/>
        </w:rPr>
      </w:pPr>
    </w:p>
    <w:p w14:paraId="734128D0" w14:textId="77777777" w:rsidR="00FF6FB3" w:rsidRPr="002B4C22" w:rsidRDefault="00FF6FB3" w:rsidP="00FF6FB3">
      <w:pPr>
        <w:pStyle w:val="ListParagraph"/>
        <w:spacing w:after="0" w:line="276" w:lineRule="auto"/>
        <w:jc w:val="both"/>
        <w:rPr>
          <w:rFonts w:cs="Times New Roman"/>
          <w:sz w:val="22"/>
          <w:szCs w:val="22"/>
        </w:rPr>
      </w:pPr>
      <w:r w:rsidRPr="002B4C22">
        <w:rPr>
          <w:rFonts w:cs="Times New Roman"/>
          <w:sz w:val="22"/>
          <w:szCs w:val="22"/>
        </w:rPr>
        <w:t>Gareth McKibben</w:t>
      </w:r>
    </w:p>
    <w:p w14:paraId="25C7A2AF" w14:textId="77777777" w:rsidR="00FF6FB3" w:rsidRPr="002B4C22" w:rsidRDefault="00FF6FB3" w:rsidP="00FF6FB3">
      <w:pPr>
        <w:pStyle w:val="ListParagraph"/>
        <w:spacing w:after="0" w:line="276" w:lineRule="auto"/>
        <w:jc w:val="both"/>
        <w:rPr>
          <w:rFonts w:cs="Times New Roman"/>
          <w:sz w:val="22"/>
          <w:szCs w:val="22"/>
        </w:rPr>
      </w:pPr>
      <w:r>
        <w:rPr>
          <w:rFonts w:cs="Times New Roman"/>
          <w:sz w:val="22"/>
          <w:szCs w:val="22"/>
        </w:rPr>
        <w:t>Associate</w:t>
      </w:r>
      <w:r w:rsidRPr="002B4C22">
        <w:rPr>
          <w:rFonts w:cs="Times New Roman"/>
          <w:sz w:val="22"/>
          <w:szCs w:val="22"/>
        </w:rPr>
        <w:t xml:space="preserve"> General Counsel, Bank Regulatory, Raymond James Financial, Inc.</w:t>
      </w:r>
    </w:p>
    <w:p w14:paraId="2BE0F691" w14:textId="77777777" w:rsidR="00FF6FB3" w:rsidRPr="002B4C22" w:rsidRDefault="00FF6FB3" w:rsidP="00FF6FB3">
      <w:pPr>
        <w:pStyle w:val="ListParagraph"/>
        <w:spacing w:after="0" w:line="276" w:lineRule="auto"/>
        <w:jc w:val="both"/>
        <w:rPr>
          <w:rFonts w:cs="Times New Roman"/>
          <w:sz w:val="22"/>
          <w:szCs w:val="22"/>
        </w:rPr>
      </w:pPr>
      <w:r w:rsidRPr="002B4C22">
        <w:rPr>
          <w:rFonts w:cs="Times New Roman"/>
          <w:sz w:val="22"/>
          <w:szCs w:val="22"/>
        </w:rPr>
        <w:t>Email address: Gareth.McKibben@RaymondJames.com</w:t>
      </w:r>
    </w:p>
    <w:p w14:paraId="705FDA3C" w14:textId="77777777" w:rsidR="00FF6FB3" w:rsidRPr="002B4C22" w:rsidRDefault="00FF6FB3" w:rsidP="00FF6FB3">
      <w:pPr>
        <w:pStyle w:val="ListParagraph"/>
        <w:spacing w:after="0" w:line="276" w:lineRule="auto"/>
        <w:ind w:left="360"/>
        <w:jc w:val="both"/>
        <w:rPr>
          <w:rFonts w:cs="Times New Roman"/>
          <w:sz w:val="22"/>
          <w:szCs w:val="22"/>
        </w:rPr>
      </w:pPr>
    </w:p>
    <w:p w14:paraId="28442D87" w14:textId="3F17A4A8" w:rsidR="00FF6FB3" w:rsidRPr="002B4C22" w:rsidRDefault="00190093" w:rsidP="00FF6FB3">
      <w:pPr>
        <w:pStyle w:val="ListParagraph"/>
        <w:spacing w:after="0" w:line="276" w:lineRule="auto"/>
        <w:ind w:left="0"/>
        <w:rPr>
          <w:rFonts w:cs="Times New Roman"/>
          <w:b/>
          <w:sz w:val="22"/>
          <w:szCs w:val="22"/>
        </w:rPr>
      </w:pPr>
      <w:r w:rsidRPr="002B4C22">
        <w:rPr>
          <w:rFonts w:cs="Times New Roman"/>
          <w:b/>
          <w:sz w:val="22"/>
          <w:szCs w:val="22"/>
        </w:rPr>
        <w:t>Class time</w:t>
      </w:r>
      <w:r>
        <w:rPr>
          <w:rFonts w:cs="Times New Roman"/>
          <w:b/>
          <w:sz w:val="22"/>
          <w:szCs w:val="22"/>
        </w:rPr>
        <w:t xml:space="preserve"> </w:t>
      </w:r>
    </w:p>
    <w:p w14:paraId="5A936617" w14:textId="77777777" w:rsidR="00FF6FB3" w:rsidRPr="002B4C22" w:rsidRDefault="00FF6FB3" w:rsidP="00FF6FB3">
      <w:pPr>
        <w:pStyle w:val="ListParagraph"/>
        <w:spacing w:after="0" w:line="276" w:lineRule="auto"/>
        <w:ind w:left="0"/>
        <w:rPr>
          <w:rFonts w:cs="Times New Roman"/>
          <w:b/>
          <w:sz w:val="22"/>
          <w:szCs w:val="22"/>
        </w:rPr>
      </w:pPr>
    </w:p>
    <w:p w14:paraId="63C05639" w14:textId="57879D9C" w:rsidR="00FF6FB3" w:rsidRPr="00BD6956" w:rsidRDefault="00FF6FB3" w:rsidP="00FF6FB3">
      <w:pPr>
        <w:pStyle w:val="ListParagraph"/>
        <w:spacing w:after="0" w:line="276" w:lineRule="auto"/>
        <w:jc w:val="both"/>
        <w:rPr>
          <w:rFonts w:cs="Times New Roman"/>
          <w:sz w:val="22"/>
          <w:szCs w:val="22"/>
        </w:rPr>
      </w:pPr>
      <w:bookmarkStart w:id="0" w:name="_Hlk170734942"/>
      <w:r w:rsidRPr="00BD6956">
        <w:rPr>
          <w:rFonts w:cs="Times New Roman"/>
          <w:sz w:val="22"/>
          <w:szCs w:val="22"/>
        </w:rPr>
        <w:t xml:space="preserve">Monday, August 12, 2024, </w:t>
      </w:r>
      <w:r w:rsidR="00640B11">
        <w:rPr>
          <w:rFonts w:cs="Times New Roman"/>
          <w:sz w:val="22"/>
          <w:szCs w:val="22"/>
        </w:rPr>
        <w:t>3</w:t>
      </w:r>
      <w:r w:rsidRPr="00BD6956">
        <w:rPr>
          <w:rFonts w:cs="Times New Roman"/>
          <w:sz w:val="22"/>
          <w:szCs w:val="22"/>
        </w:rPr>
        <w:t xml:space="preserve"> pm-</w:t>
      </w:r>
      <w:r w:rsidR="00640B11">
        <w:rPr>
          <w:rFonts w:cs="Times New Roman"/>
          <w:sz w:val="22"/>
          <w:szCs w:val="22"/>
        </w:rPr>
        <w:t>6</w:t>
      </w:r>
      <w:r w:rsidRPr="00BD6956">
        <w:rPr>
          <w:rFonts w:cs="Times New Roman"/>
          <w:sz w:val="22"/>
          <w:szCs w:val="22"/>
        </w:rPr>
        <w:t>:30 pm</w:t>
      </w:r>
    </w:p>
    <w:p w14:paraId="64B8A8B0" w14:textId="71006955" w:rsidR="00FF6FB3" w:rsidRPr="00BD6956" w:rsidRDefault="00FF6FB3" w:rsidP="00FF6FB3">
      <w:pPr>
        <w:pStyle w:val="ListParagraph"/>
        <w:spacing w:after="0" w:line="276" w:lineRule="auto"/>
        <w:jc w:val="both"/>
        <w:rPr>
          <w:rFonts w:cs="Times New Roman"/>
          <w:sz w:val="22"/>
          <w:szCs w:val="22"/>
        </w:rPr>
      </w:pPr>
      <w:r w:rsidRPr="00BD6956">
        <w:rPr>
          <w:rFonts w:cs="Times New Roman"/>
          <w:sz w:val="22"/>
          <w:szCs w:val="22"/>
        </w:rPr>
        <w:t xml:space="preserve">Tuesday, August 13, 2024, </w:t>
      </w:r>
      <w:r w:rsidR="00640B11">
        <w:rPr>
          <w:rFonts w:cs="Times New Roman"/>
          <w:sz w:val="22"/>
          <w:szCs w:val="22"/>
        </w:rPr>
        <w:t xml:space="preserve">1 pm-4:30 pm </w:t>
      </w:r>
      <w:r w:rsidRPr="00BD6956">
        <w:rPr>
          <w:rFonts w:cs="Times New Roman"/>
          <w:sz w:val="22"/>
          <w:szCs w:val="22"/>
        </w:rPr>
        <w:t xml:space="preserve"> </w:t>
      </w:r>
    </w:p>
    <w:p w14:paraId="1B2C5BEE" w14:textId="77777777" w:rsidR="00FF6FB3" w:rsidRPr="00BD6956" w:rsidRDefault="00FF6FB3" w:rsidP="00FF6FB3">
      <w:pPr>
        <w:pStyle w:val="ListParagraph"/>
        <w:spacing w:after="0" w:line="276" w:lineRule="auto"/>
        <w:jc w:val="both"/>
        <w:rPr>
          <w:rFonts w:cs="Times New Roman"/>
          <w:sz w:val="22"/>
          <w:szCs w:val="22"/>
        </w:rPr>
      </w:pPr>
      <w:r w:rsidRPr="00BD6956">
        <w:rPr>
          <w:rFonts w:cs="Times New Roman"/>
          <w:sz w:val="22"/>
          <w:szCs w:val="22"/>
        </w:rPr>
        <w:t>Wednesday, August 14, 2024, 9:30 am-1 pm</w:t>
      </w:r>
    </w:p>
    <w:p w14:paraId="25765783" w14:textId="7C33435B" w:rsidR="00190093" w:rsidRPr="00190093" w:rsidRDefault="00FF6FB3" w:rsidP="00190093">
      <w:pPr>
        <w:pStyle w:val="ListParagraph"/>
        <w:spacing w:after="0" w:line="276" w:lineRule="auto"/>
        <w:jc w:val="both"/>
        <w:rPr>
          <w:rFonts w:cs="Times New Roman"/>
          <w:sz w:val="22"/>
          <w:szCs w:val="22"/>
        </w:rPr>
      </w:pPr>
      <w:r w:rsidRPr="00BD6956">
        <w:rPr>
          <w:rFonts w:cs="Times New Roman"/>
          <w:sz w:val="22"/>
          <w:szCs w:val="22"/>
        </w:rPr>
        <w:t>Thursday, August 15, 2024, 9:30 am-1 pm</w:t>
      </w:r>
      <w:bookmarkEnd w:id="0"/>
    </w:p>
    <w:p w14:paraId="7740636D" w14:textId="77777777" w:rsidR="00190093" w:rsidRDefault="00190093" w:rsidP="00FF6FB3">
      <w:pPr>
        <w:pStyle w:val="ListParagraph"/>
        <w:spacing w:after="0" w:line="276" w:lineRule="auto"/>
        <w:ind w:left="0"/>
        <w:rPr>
          <w:rFonts w:cs="Times New Roman"/>
          <w:b/>
          <w:sz w:val="22"/>
          <w:szCs w:val="22"/>
        </w:rPr>
      </w:pPr>
    </w:p>
    <w:p w14:paraId="367137F1" w14:textId="7490BAF2" w:rsidR="00190093" w:rsidRDefault="00190093" w:rsidP="00FF6FB3">
      <w:pPr>
        <w:pStyle w:val="ListParagraph"/>
        <w:spacing w:after="0" w:line="276" w:lineRule="auto"/>
        <w:ind w:left="0"/>
        <w:rPr>
          <w:rFonts w:cs="Times New Roman"/>
          <w:b/>
          <w:sz w:val="22"/>
          <w:szCs w:val="22"/>
        </w:rPr>
      </w:pPr>
      <w:r>
        <w:rPr>
          <w:rFonts w:cs="Times New Roman"/>
          <w:b/>
          <w:sz w:val="22"/>
          <w:szCs w:val="22"/>
        </w:rPr>
        <w:t>Classroom</w:t>
      </w:r>
    </w:p>
    <w:p w14:paraId="1B73D602" w14:textId="77777777" w:rsidR="00190093" w:rsidRDefault="00190093" w:rsidP="00FF6FB3">
      <w:pPr>
        <w:pStyle w:val="ListParagraph"/>
        <w:spacing w:after="0" w:line="276" w:lineRule="auto"/>
        <w:ind w:left="0"/>
        <w:rPr>
          <w:rFonts w:cs="Times New Roman"/>
          <w:b/>
          <w:sz w:val="22"/>
          <w:szCs w:val="22"/>
        </w:rPr>
      </w:pPr>
    </w:p>
    <w:p w14:paraId="6DE6D28A" w14:textId="0A1F40BB" w:rsidR="00190093" w:rsidRPr="00190093" w:rsidRDefault="00190093" w:rsidP="00190093">
      <w:pPr>
        <w:pStyle w:val="ListParagraph"/>
        <w:spacing w:after="0" w:line="276" w:lineRule="auto"/>
        <w:rPr>
          <w:rFonts w:cs="Times New Roman"/>
          <w:b/>
          <w:sz w:val="22"/>
          <w:szCs w:val="22"/>
        </w:rPr>
      </w:pPr>
      <w:r w:rsidRPr="00190093">
        <w:rPr>
          <w:rFonts w:eastAsia="Times New Roman"/>
          <w:color w:val="242424"/>
          <w:sz w:val="22"/>
          <w:szCs w:val="22"/>
        </w:rPr>
        <w:t>Holland Hall HH283</w:t>
      </w:r>
    </w:p>
    <w:p w14:paraId="557CD4F8" w14:textId="77777777" w:rsidR="00190093" w:rsidRDefault="00190093" w:rsidP="00FF6FB3">
      <w:pPr>
        <w:pStyle w:val="ListParagraph"/>
        <w:spacing w:after="0" w:line="276" w:lineRule="auto"/>
        <w:ind w:left="0"/>
        <w:rPr>
          <w:rFonts w:cs="Times New Roman"/>
          <w:b/>
          <w:sz w:val="22"/>
          <w:szCs w:val="22"/>
        </w:rPr>
      </w:pPr>
    </w:p>
    <w:p w14:paraId="7B7C5340" w14:textId="677D85A4" w:rsidR="00FF6FB3" w:rsidRPr="002B4C22" w:rsidRDefault="00FF6FB3" w:rsidP="00FF6FB3">
      <w:pPr>
        <w:pStyle w:val="ListParagraph"/>
        <w:spacing w:after="0" w:line="276" w:lineRule="auto"/>
        <w:ind w:left="0"/>
        <w:rPr>
          <w:rFonts w:cs="Times New Roman"/>
          <w:b/>
          <w:sz w:val="22"/>
          <w:szCs w:val="22"/>
        </w:rPr>
      </w:pPr>
      <w:r w:rsidRPr="002B4C22">
        <w:rPr>
          <w:rFonts w:cs="Times New Roman"/>
          <w:b/>
          <w:sz w:val="22"/>
          <w:szCs w:val="22"/>
        </w:rPr>
        <w:t xml:space="preserve">Office hours </w:t>
      </w:r>
    </w:p>
    <w:p w14:paraId="6B92AEF1" w14:textId="77777777" w:rsidR="00FF6FB3" w:rsidRPr="002B4C22" w:rsidRDefault="00FF6FB3" w:rsidP="00FF6FB3">
      <w:pPr>
        <w:pStyle w:val="ListParagraph"/>
        <w:spacing w:after="0" w:line="276" w:lineRule="auto"/>
        <w:ind w:left="0"/>
        <w:rPr>
          <w:rFonts w:cs="Times New Roman"/>
          <w:b/>
          <w:sz w:val="22"/>
          <w:szCs w:val="22"/>
        </w:rPr>
      </w:pPr>
    </w:p>
    <w:p w14:paraId="754E3494" w14:textId="42AD0741" w:rsidR="00FF6FB3" w:rsidRPr="002B4C22" w:rsidRDefault="00FF6FB3" w:rsidP="00FF6FB3">
      <w:pPr>
        <w:pStyle w:val="ListParagraph"/>
        <w:spacing w:after="0" w:line="276" w:lineRule="auto"/>
        <w:jc w:val="both"/>
        <w:rPr>
          <w:rFonts w:cs="Times New Roman"/>
          <w:sz w:val="22"/>
          <w:szCs w:val="22"/>
        </w:rPr>
      </w:pPr>
      <w:r w:rsidRPr="002B4C22">
        <w:rPr>
          <w:rFonts w:cs="Times New Roman"/>
          <w:sz w:val="22"/>
          <w:szCs w:val="22"/>
        </w:rPr>
        <w:t>We will be available by appointment.</w:t>
      </w:r>
      <w:r w:rsidR="00190093">
        <w:rPr>
          <w:rFonts w:cs="Times New Roman"/>
          <w:sz w:val="22"/>
          <w:szCs w:val="22"/>
        </w:rPr>
        <w:t xml:space="preserve">  </w:t>
      </w:r>
      <w:r w:rsidRPr="002B4C22">
        <w:rPr>
          <w:rFonts w:cs="Times New Roman"/>
          <w:sz w:val="22"/>
          <w:szCs w:val="22"/>
        </w:rPr>
        <w:t>We will also</w:t>
      </w:r>
      <w:r w:rsidR="00190093">
        <w:rPr>
          <w:rFonts w:cs="Times New Roman"/>
          <w:sz w:val="22"/>
          <w:szCs w:val="22"/>
        </w:rPr>
        <w:t xml:space="preserve"> often be available after class.</w:t>
      </w:r>
      <w:r w:rsidRPr="002B4C22">
        <w:rPr>
          <w:rFonts w:cs="Times New Roman"/>
          <w:sz w:val="22"/>
          <w:szCs w:val="22"/>
        </w:rPr>
        <w:t xml:space="preserve"> </w:t>
      </w:r>
    </w:p>
    <w:p w14:paraId="54441AA9" w14:textId="77777777" w:rsidR="00FF6FB3" w:rsidRPr="002B4C22" w:rsidRDefault="00FF6FB3" w:rsidP="00FF6FB3">
      <w:pPr>
        <w:pStyle w:val="ListParagraph"/>
        <w:spacing w:after="0" w:line="276" w:lineRule="auto"/>
        <w:rPr>
          <w:rFonts w:cs="Times New Roman"/>
          <w:sz w:val="22"/>
          <w:szCs w:val="22"/>
        </w:rPr>
      </w:pPr>
    </w:p>
    <w:p w14:paraId="53BF99D6" w14:textId="77777777" w:rsidR="00FF6FB3" w:rsidRPr="002B4C22" w:rsidRDefault="00FF6FB3" w:rsidP="00FF6FB3">
      <w:pPr>
        <w:pStyle w:val="ListParagraph"/>
        <w:spacing w:after="0" w:line="276" w:lineRule="auto"/>
        <w:ind w:left="0"/>
        <w:rPr>
          <w:rFonts w:cs="Times New Roman"/>
          <w:b/>
          <w:sz w:val="22"/>
          <w:szCs w:val="22"/>
        </w:rPr>
      </w:pPr>
      <w:r w:rsidRPr="002B4C22">
        <w:rPr>
          <w:rFonts w:cs="Times New Roman"/>
          <w:b/>
          <w:sz w:val="22"/>
          <w:szCs w:val="22"/>
        </w:rPr>
        <w:t>Course materials</w:t>
      </w:r>
    </w:p>
    <w:p w14:paraId="787D9BC7" w14:textId="77777777" w:rsidR="00FF6FB3" w:rsidRPr="002B4C22" w:rsidRDefault="00FF6FB3" w:rsidP="00FF6FB3">
      <w:pPr>
        <w:pStyle w:val="ListParagraph"/>
        <w:spacing w:after="0" w:line="276" w:lineRule="auto"/>
        <w:ind w:left="0"/>
        <w:rPr>
          <w:rFonts w:cs="Times New Roman"/>
          <w:b/>
          <w:sz w:val="22"/>
          <w:szCs w:val="22"/>
        </w:rPr>
      </w:pPr>
    </w:p>
    <w:p w14:paraId="05CE16DC" w14:textId="77777777" w:rsidR="00FF6FB3" w:rsidRPr="002B4C22" w:rsidRDefault="00FF6FB3" w:rsidP="00FF6FB3">
      <w:pPr>
        <w:pStyle w:val="ListParagraph"/>
        <w:spacing w:after="0" w:line="276" w:lineRule="auto"/>
        <w:jc w:val="both"/>
        <w:rPr>
          <w:rFonts w:cs="Times New Roman"/>
          <w:sz w:val="22"/>
          <w:szCs w:val="22"/>
        </w:rPr>
      </w:pPr>
      <w:r w:rsidRPr="002B4C22">
        <w:rPr>
          <w:rFonts w:cs="Times New Roman"/>
          <w:sz w:val="22"/>
          <w:szCs w:val="22"/>
        </w:rPr>
        <w:t>No textbook is required for this course.  Any materials needed are available for free online.</w:t>
      </w:r>
    </w:p>
    <w:p w14:paraId="4E4FA93F" w14:textId="77777777" w:rsidR="00FF6FB3" w:rsidRPr="002B4C22" w:rsidRDefault="00FF6FB3" w:rsidP="00FF6FB3">
      <w:pPr>
        <w:pStyle w:val="ListParagraph"/>
        <w:spacing w:after="0" w:line="276" w:lineRule="auto"/>
        <w:ind w:left="0"/>
        <w:rPr>
          <w:rFonts w:cs="Times New Roman"/>
          <w:b/>
          <w:sz w:val="22"/>
          <w:szCs w:val="22"/>
        </w:rPr>
      </w:pPr>
    </w:p>
    <w:p w14:paraId="611CBFFC" w14:textId="77777777" w:rsidR="00FF6FB3" w:rsidRPr="002B4C22" w:rsidRDefault="00FF6FB3" w:rsidP="00FF6FB3">
      <w:pPr>
        <w:pStyle w:val="ListParagraph"/>
        <w:spacing w:after="0" w:line="276" w:lineRule="auto"/>
        <w:ind w:left="0"/>
        <w:rPr>
          <w:rFonts w:cs="Times New Roman"/>
          <w:b/>
          <w:sz w:val="22"/>
          <w:szCs w:val="22"/>
        </w:rPr>
      </w:pPr>
      <w:r w:rsidRPr="002B4C22">
        <w:rPr>
          <w:rFonts w:cs="Times New Roman"/>
          <w:b/>
          <w:sz w:val="22"/>
          <w:szCs w:val="22"/>
        </w:rPr>
        <w:t>Course website</w:t>
      </w:r>
    </w:p>
    <w:p w14:paraId="26FE082E" w14:textId="77777777" w:rsidR="00FF6FB3" w:rsidRPr="002B4C22" w:rsidRDefault="00FF6FB3" w:rsidP="00FF6FB3">
      <w:pPr>
        <w:pStyle w:val="ListParagraph"/>
        <w:spacing w:after="0" w:line="276" w:lineRule="auto"/>
        <w:ind w:left="0"/>
        <w:rPr>
          <w:rFonts w:cs="Times New Roman"/>
          <w:b/>
          <w:sz w:val="22"/>
          <w:szCs w:val="22"/>
        </w:rPr>
      </w:pPr>
    </w:p>
    <w:p w14:paraId="7A8C9A2F" w14:textId="77777777" w:rsidR="00FF6FB3" w:rsidRPr="002B4C22" w:rsidRDefault="00FF6FB3" w:rsidP="00FF6FB3">
      <w:pPr>
        <w:pStyle w:val="ListParagraph"/>
        <w:spacing w:after="0" w:line="276" w:lineRule="auto"/>
        <w:jc w:val="both"/>
        <w:rPr>
          <w:rFonts w:cs="Times New Roman"/>
          <w:b/>
          <w:sz w:val="22"/>
          <w:szCs w:val="22"/>
        </w:rPr>
      </w:pPr>
      <w:r w:rsidRPr="002B4C22">
        <w:rPr>
          <w:rFonts w:cs="Times New Roman"/>
          <w:sz w:val="22"/>
          <w:szCs w:val="22"/>
        </w:rPr>
        <w:t xml:space="preserve">You are responsible for reviewing </w:t>
      </w:r>
      <w:hyperlink r:id="rId7" w:history="1">
        <w:r w:rsidRPr="002B4C22">
          <w:rPr>
            <w:rStyle w:val="Hyperlink"/>
            <w:rFonts w:cs="Times New Roman"/>
            <w:sz w:val="22"/>
            <w:szCs w:val="22"/>
          </w:rPr>
          <w:t>Canvas</w:t>
        </w:r>
      </w:hyperlink>
      <w:r w:rsidRPr="002B4C22">
        <w:rPr>
          <w:rFonts w:cs="Times New Roman"/>
          <w:sz w:val="22"/>
          <w:szCs w:val="22"/>
        </w:rPr>
        <w:t xml:space="preserve"> for updates to this course.</w:t>
      </w:r>
    </w:p>
    <w:p w14:paraId="64614C12" w14:textId="77777777" w:rsidR="00FF6FB3" w:rsidRPr="0095794D" w:rsidRDefault="00FF6FB3" w:rsidP="0095794D">
      <w:pPr>
        <w:spacing w:after="0" w:line="276" w:lineRule="auto"/>
        <w:rPr>
          <w:rFonts w:cs="Times New Roman"/>
          <w:b/>
          <w:sz w:val="22"/>
          <w:szCs w:val="22"/>
        </w:rPr>
      </w:pPr>
    </w:p>
    <w:p w14:paraId="03B02A1B" w14:textId="77777777" w:rsidR="00FF6FB3" w:rsidRPr="002B4C22" w:rsidRDefault="00FF6FB3" w:rsidP="00FF6FB3">
      <w:pPr>
        <w:pStyle w:val="ListParagraph"/>
        <w:spacing w:after="0" w:line="276" w:lineRule="auto"/>
        <w:ind w:left="0"/>
        <w:rPr>
          <w:rFonts w:cs="Times New Roman"/>
          <w:b/>
          <w:sz w:val="22"/>
          <w:szCs w:val="22"/>
        </w:rPr>
      </w:pPr>
      <w:r w:rsidRPr="002B4C22">
        <w:rPr>
          <w:rFonts w:cs="Times New Roman"/>
          <w:b/>
          <w:sz w:val="22"/>
          <w:szCs w:val="22"/>
        </w:rPr>
        <w:t>Course description</w:t>
      </w:r>
    </w:p>
    <w:p w14:paraId="184BFFF0" w14:textId="77777777" w:rsidR="00FF6FB3" w:rsidRPr="002B4C22" w:rsidRDefault="00FF6FB3" w:rsidP="00FF6FB3">
      <w:pPr>
        <w:pStyle w:val="ListParagraph"/>
        <w:spacing w:after="0" w:line="276" w:lineRule="auto"/>
        <w:ind w:left="0"/>
        <w:rPr>
          <w:rFonts w:cs="Times New Roman"/>
          <w:b/>
          <w:sz w:val="22"/>
          <w:szCs w:val="22"/>
        </w:rPr>
      </w:pPr>
    </w:p>
    <w:p w14:paraId="36A66185" w14:textId="3E78375A" w:rsidR="00FF6FB3" w:rsidRDefault="00FF6FB3" w:rsidP="00FF6FB3">
      <w:pPr>
        <w:pStyle w:val="ListParagraph"/>
        <w:spacing w:after="0" w:line="276" w:lineRule="auto"/>
        <w:jc w:val="both"/>
        <w:rPr>
          <w:rFonts w:cs="Times New Roman"/>
          <w:sz w:val="22"/>
          <w:szCs w:val="22"/>
        </w:rPr>
      </w:pPr>
      <w:r w:rsidRPr="002B4C22">
        <w:rPr>
          <w:rFonts w:cs="Times New Roman"/>
          <w:sz w:val="22"/>
          <w:szCs w:val="22"/>
        </w:rPr>
        <w:lastRenderedPageBreak/>
        <w:t>In this course, you will study financial regulation in the United States and some of the</w:t>
      </w:r>
      <w:r>
        <w:rPr>
          <w:rFonts w:cs="Times New Roman"/>
          <w:sz w:val="22"/>
          <w:szCs w:val="22"/>
        </w:rPr>
        <w:t xml:space="preserve"> field’s</w:t>
      </w:r>
      <w:r w:rsidRPr="002B4C22">
        <w:rPr>
          <w:rFonts w:cs="Times New Roman"/>
          <w:sz w:val="22"/>
          <w:szCs w:val="22"/>
        </w:rPr>
        <w:t xml:space="preserve"> emerging issues.  We will begin with an introduction to financial services and regulation in the United States</w:t>
      </w:r>
      <w:r>
        <w:rPr>
          <w:rFonts w:cs="Times New Roman"/>
          <w:sz w:val="22"/>
          <w:szCs w:val="22"/>
        </w:rPr>
        <w:t xml:space="preserve"> and examine the regulatory structure in the United States</w:t>
      </w:r>
      <w:r w:rsidRPr="002B4C22">
        <w:rPr>
          <w:rFonts w:cs="Times New Roman"/>
          <w:sz w:val="22"/>
          <w:szCs w:val="22"/>
        </w:rPr>
        <w:t>.</w:t>
      </w:r>
      <w:r>
        <w:rPr>
          <w:rFonts w:cs="Times New Roman"/>
          <w:sz w:val="22"/>
          <w:szCs w:val="22"/>
        </w:rPr>
        <w:t xml:space="preserve">  We </w:t>
      </w:r>
      <w:r w:rsidRPr="002B4C22">
        <w:rPr>
          <w:rFonts w:cs="Times New Roman"/>
          <w:sz w:val="22"/>
          <w:szCs w:val="22"/>
        </w:rPr>
        <w:t xml:space="preserve">will </w:t>
      </w:r>
      <w:r>
        <w:rPr>
          <w:rFonts w:cs="Times New Roman"/>
          <w:sz w:val="22"/>
          <w:szCs w:val="22"/>
        </w:rPr>
        <w:t xml:space="preserve">then </w:t>
      </w:r>
      <w:r w:rsidRPr="002B4C22">
        <w:rPr>
          <w:rFonts w:cs="Times New Roman"/>
          <w:sz w:val="22"/>
          <w:szCs w:val="22"/>
        </w:rPr>
        <w:t xml:space="preserve">review </w:t>
      </w:r>
      <w:r>
        <w:rPr>
          <w:rFonts w:cs="Times New Roman"/>
          <w:sz w:val="22"/>
          <w:szCs w:val="22"/>
        </w:rPr>
        <w:t>the banking crisis of 2023, including the failures of Silicon Valley Bank, Signature Bank, and First Republic Bank, and governmental responses to that crisis.  We will follow this with an evaluation of the Consumer Financial Protection Bureau (“</w:t>
      </w:r>
      <w:r w:rsidRPr="00947C13">
        <w:rPr>
          <w:rFonts w:cs="Times New Roman"/>
          <w:sz w:val="22"/>
          <w:szCs w:val="22"/>
          <w:u w:val="single"/>
        </w:rPr>
        <w:t>CFPB</w:t>
      </w:r>
      <w:r>
        <w:rPr>
          <w:rFonts w:cs="Times New Roman"/>
          <w:sz w:val="22"/>
          <w:szCs w:val="22"/>
        </w:rPr>
        <w:t xml:space="preserve">”) and certain of the CFPB’s recent efforts to promote consumer protection together with legal challenges the CFPB has faced, notably in the </w:t>
      </w:r>
      <w:r w:rsidRPr="00FF6FB3">
        <w:rPr>
          <w:rFonts w:cs="Times New Roman"/>
          <w:i/>
          <w:iCs/>
          <w:sz w:val="22"/>
          <w:szCs w:val="22"/>
        </w:rPr>
        <w:t>Consumer Financial Protection Bureau v. Community Financial Services Assn. of America, Ltd.</w:t>
      </w:r>
      <w:r>
        <w:rPr>
          <w:rFonts w:cs="Times New Roman"/>
          <w:sz w:val="22"/>
          <w:szCs w:val="22"/>
        </w:rPr>
        <w:t xml:space="preserve">  Lastly, we will examine cryptoassets and governmental efforts to regulate cryptoassets. </w:t>
      </w:r>
    </w:p>
    <w:p w14:paraId="27F80229" w14:textId="77777777" w:rsidR="00FF6FB3" w:rsidRDefault="00FF6FB3" w:rsidP="00FF6FB3">
      <w:pPr>
        <w:pStyle w:val="ListParagraph"/>
        <w:spacing w:after="0" w:line="276" w:lineRule="auto"/>
        <w:jc w:val="both"/>
        <w:rPr>
          <w:rFonts w:cs="Times New Roman"/>
          <w:sz w:val="22"/>
          <w:szCs w:val="22"/>
        </w:rPr>
      </w:pPr>
    </w:p>
    <w:p w14:paraId="7077A660" w14:textId="5BFBE474" w:rsidR="00FF6FB3" w:rsidRPr="00BD6956" w:rsidRDefault="00FF6FB3" w:rsidP="00FF6FB3">
      <w:pPr>
        <w:pStyle w:val="ListParagraph"/>
        <w:spacing w:after="0" w:line="276" w:lineRule="auto"/>
        <w:jc w:val="both"/>
        <w:rPr>
          <w:rFonts w:cs="Times New Roman"/>
          <w:sz w:val="22"/>
          <w:szCs w:val="22"/>
        </w:rPr>
      </w:pPr>
      <w:r w:rsidRPr="00BD6956">
        <w:rPr>
          <w:rFonts w:cs="Times New Roman"/>
          <w:sz w:val="22"/>
          <w:szCs w:val="22"/>
        </w:rPr>
        <w:t xml:space="preserve">The schedule of topics and reading assignments can be found in the table </w:t>
      </w:r>
      <w:r w:rsidR="0017431C">
        <w:rPr>
          <w:rFonts w:cs="Times New Roman"/>
          <w:sz w:val="22"/>
          <w:szCs w:val="22"/>
        </w:rPr>
        <w:t>on pages 4-6</w:t>
      </w:r>
      <w:r w:rsidR="0095794D">
        <w:rPr>
          <w:rFonts w:cs="Times New Roman"/>
          <w:sz w:val="22"/>
          <w:szCs w:val="22"/>
        </w:rPr>
        <w:t xml:space="preserve"> </w:t>
      </w:r>
      <w:r w:rsidRPr="00BD6956">
        <w:rPr>
          <w:rFonts w:cs="Times New Roman"/>
          <w:sz w:val="22"/>
          <w:szCs w:val="22"/>
        </w:rPr>
        <w:t>below.  Please note that the schedule of topics and reading assignments are subject to change.</w:t>
      </w:r>
    </w:p>
    <w:p w14:paraId="393695A8" w14:textId="77777777" w:rsidR="00FF6FB3" w:rsidRPr="002B4C22" w:rsidRDefault="00FF6FB3" w:rsidP="00FF6FB3">
      <w:pPr>
        <w:pStyle w:val="ListParagraph"/>
        <w:spacing w:after="0" w:line="276" w:lineRule="auto"/>
        <w:ind w:left="0"/>
        <w:rPr>
          <w:rFonts w:cs="Times New Roman"/>
          <w:b/>
          <w:sz w:val="22"/>
          <w:szCs w:val="22"/>
        </w:rPr>
      </w:pPr>
    </w:p>
    <w:p w14:paraId="7E180D58" w14:textId="77777777" w:rsidR="00FF6FB3" w:rsidRPr="002B4C22" w:rsidRDefault="00FF6FB3" w:rsidP="00FF6FB3">
      <w:pPr>
        <w:pStyle w:val="ListParagraph"/>
        <w:spacing w:after="0" w:line="276" w:lineRule="auto"/>
        <w:ind w:left="0"/>
        <w:rPr>
          <w:rFonts w:cs="Times New Roman"/>
          <w:b/>
          <w:sz w:val="22"/>
          <w:szCs w:val="22"/>
        </w:rPr>
      </w:pPr>
      <w:r w:rsidRPr="002B4C22">
        <w:rPr>
          <w:rFonts w:cs="Times New Roman"/>
          <w:b/>
          <w:sz w:val="22"/>
          <w:szCs w:val="22"/>
        </w:rPr>
        <w:t>Student learning outcomes</w:t>
      </w:r>
    </w:p>
    <w:p w14:paraId="7BC4D576" w14:textId="77777777" w:rsidR="00FF6FB3" w:rsidRPr="002B4C22" w:rsidRDefault="00FF6FB3" w:rsidP="00FF6FB3">
      <w:pPr>
        <w:pStyle w:val="ListParagraph"/>
        <w:spacing w:after="0" w:line="276" w:lineRule="auto"/>
        <w:ind w:left="0"/>
        <w:rPr>
          <w:rFonts w:cs="Times New Roman"/>
          <w:b/>
          <w:sz w:val="22"/>
          <w:szCs w:val="22"/>
        </w:rPr>
      </w:pPr>
    </w:p>
    <w:p w14:paraId="493E10AB" w14:textId="77777777" w:rsidR="00FF6FB3" w:rsidRPr="00BC502E" w:rsidRDefault="00FF6FB3" w:rsidP="00FF6FB3">
      <w:pPr>
        <w:pStyle w:val="ListParagraph"/>
        <w:spacing w:after="0" w:line="276" w:lineRule="auto"/>
        <w:jc w:val="both"/>
        <w:rPr>
          <w:rFonts w:cs="Times New Roman"/>
          <w:sz w:val="22"/>
          <w:szCs w:val="22"/>
        </w:rPr>
      </w:pPr>
      <w:r w:rsidRPr="00BC502E">
        <w:rPr>
          <w:rFonts w:cs="Times New Roman"/>
          <w:sz w:val="22"/>
          <w:szCs w:val="22"/>
        </w:rPr>
        <w:t>Upon completion of this course, you should be able to demonstrate an understanding of and critically evaluate:</w:t>
      </w:r>
    </w:p>
    <w:p w14:paraId="6D125340" w14:textId="77777777" w:rsidR="00FF6FB3" w:rsidRPr="00BC502E" w:rsidRDefault="00FF6FB3" w:rsidP="00FF6FB3">
      <w:pPr>
        <w:pStyle w:val="ListParagraph"/>
        <w:spacing w:after="0" w:line="276" w:lineRule="auto"/>
        <w:ind w:left="1080"/>
        <w:jc w:val="both"/>
        <w:rPr>
          <w:rFonts w:cs="Times New Roman"/>
          <w:sz w:val="22"/>
          <w:szCs w:val="22"/>
        </w:rPr>
      </w:pPr>
    </w:p>
    <w:p w14:paraId="7310A400" w14:textId="77777777" w:rsidR="00FF6FB3" w:rsidRDefault="00FF6FB3" w:rsidP="00FF6FB3">
      <w:pPr>
        <w:pStyle w:val="ListParagraph"/>
        <w:numPr>
          <w:ilvl w:val="0"/>
          <w:numId w:val="4"/>
        </w:numPr>
        <w:spacing w:after="0" w:line="276" w:lineRule="auto"/>
        <w:ind w:left="1800"/>
        <w:jc w:val="both"/>
        <w:rPr>
          <w:rFonts w:cs="Times New Roman"/>
          <w:sz w:val="22"/>
          <w:szCs w:val="22"/>
        </w:rPr>
      </w:pPr>
      <w:r w:rsidRPr="00BC502E">
        <w:rPr>
          <w:rFonts w:cs="Times New Roman"/>
          <w:sz w:val="22"/>
          <w:szCs w:val="22"/>
        </w:rPr>
        <w:t>The goals and structure of financial regulation in the United States.</w:t>
      </w:r>
    </w:p>
    <w:p w14:paraId="6070879D" w14:textId="77777777" w:rsidR="00FF6FB3" w:rsidRPr="00BC502E" w:rsidRDefault="00FF6FB3" w:rsidP="00FF6FB3">
      <w:pPr>
        <w:pStyle w:val="ListParagraph"/>
        <w:spacing w:after="0" w:line="276" w:lineRule="auto"/>
        <w:ind w:left="1800"/>
        <w:jc w:val="both"/>
        <w:rPr>
          <w:rFonts w:cs="Times New Roman"/>
          <w:sz w:val="22"/>
          <w:szCs w:val="22"/>
        </w:rPr>
      </w:pPr>
    </w:p>
    <w:p w14:paraId="580F765D" w14:textId="77777777" w:rsidR="00FF6FB3" w:rsidRDefault="00FF6FB3" w:rsidP="00FF6FB3">
      <w:pPr>
        <w:pStyle w:val="ListParagraph"/>
        <w:numPr>
          <w:ilvl w:val="0"/>
          <w:numId w:val="4"/>
        </w:numPr>
        <w:spacing w:after="0" w:line="276" w:lineRule="auto"/>
        <w:ind w:left="1800"/>
        <w:jc w:val="both"/>
        <w:rPr>
          <w:rFonts w:cs="Times New Roman"/>
          <w:bCs/>
          <w:sz w:val="22"/>
          <w:szCs w:val="22"/>
        </w:rPr>
      </w:pPr>
      <w:r>
        <w:rPr>
          <w:rFonts w:cs="Times New Roman"/>
          <w:bCs/>
          <w:sz w:val="22"/>
          <w:szCs w:val="22"/>
        </w:rPr>
        <w:t>The banking crisis of 2023 and governmental responses to the crises.</w:t>
      </w:r>
    </w:p>
    <w:p w14:paraId="643CAFF0" w14:textId="77777777" w:rsidR="00FF6FB3" w:rsidRPr="00BC502E" w:rsidRDefault="00FF6FB3" w:rsidP="00FF6FB3">
      <w:pPr>
        <w:pStyle w:val="ListParagraph"/>
        <w:rPr>
          <w:rFonts w:cs="Times New Roman"/>
          <w:sz w:val="22"/>
          <w:szCs w:val="22"/>
        </w:rPr>
      </w:pPr>
    </w:p>
    <w:p w14:paraId="07368872" w14:textId="77777777" w:rsidR="00FF6FB3" w:rsidRPr="00BC502E" w:rsidRDefault="00FF6FB3" w:rsidP="00FF6FB3">
      <w:pPr>
        <w:pStyle w:val="ListParagraph"/>
        <w:numPr>
          <w:ilvl w:val="0"/>
          <w:numId w:val="4"/>
        </w:numPr>
        <w:spacing w:after="0" w:line="276" w:lineRule="auto"/>
        <w:ind w:left="1800"/>
        <w:jc w:val="both"/>
        <w:rPr>
          <w:rFonts w:cs="Times New Roman"/>
          <w:bCs/>
          <w:sz w:val="22"/>
          <w:szCs w:val="22"/>
        </w:rPr>
      </w:pPr>
      <w:r w:rsidRPr="00BC502E">
        <w:rPr>
          <w:rFonts w:cs="Times New Roman"/>
          <w:sz w:val="22"/>
          <w:szCs w:val="22"/>
        </w:rPr>
        <w:t>The structure and powers of the CFPB</w:t>
      </w:r>
      <w:r>
        <w:rPr>
          <w:rFonts w:cs="Times New Roman"/>
          <w:sz w:val="22"/>
          <w:szCs w:val="22"/>
        </w:rPr>
        <w:t xml:space="preserve"> together with certain of the</w:t>
      </w:r>
      <w:r w:rsidRPr="00BC502E">
        <w:rPr>
          <w:rFonts w:cs="Times New Roman"/>
          <w:sz w:val="22"/>
          <w:szCs w:val="22"/>
        </w:rPr>
        <w:t xml:space="preserve"> CFPB’s recent efforts to promote consumer protection and legal challenges the CFPB has faced.  </w:t>
      </w:r>
    </w:p>
    <w:p w14:paraId="521D335D" w14:textId="77777777" w:rsidR="00FF6FB3" w:rsidRPr="00BC502E" w:rsidRDefault="00FF6FB3" w:rsidP="00FF6FB3">
      <w:pPr>
        <w:pStyle w:val="ListParagraph"/>
        <w:rPr>
          <w:rFonts w:cs="Times New Roman"/>
          <w:sz w:val="22"/>
          <w:szCs w:val="22"/>
        </w:rPr>
      </w:pPr>
    </w:p>
    <w:p w14:paraId="4548483B" w14:textId="77777777" w:rsidR="00FF6FB3" w:rsidRPr="00BC502E" w:rsidRDefault="00FF6FB3" w:rsidP="00FF6FB3">
      <w:pPr>
        <w:pStyle w:val="ListParagraph"/>
        <w:numPr>
          <w:ilvl w:val="0"/>
          <w:numId w:val="4"/>
        </w:numPr>
        <w:spacing w:after="0" w:line="276" w:lineRule="auto"/>
        <w:ind w:left="1800"/>
        <w:jc w:val="both"/>
        <w:rPr>
          <w:rFonts w:cs="Times New Roman"/>
          <w:b/>
          <w:sz w:val="22"/>
          <w:szCs w:val="22"/>
        </w:rPr>
      </w:pPr>
      <w:r>
        <w:rPr>
          <w:rFonts w:cs="Times New Roman"/>
          <w:sz w:val="22"/>
          <w:szCs w:val="22"/>
        </w:rPr>
        <w:t xml:space="preserve">Cryptoassets and </w:t>
      </w:r>
      <w:r w:rsidRPr="00BC502E">
        <w:rPr>
          <w:rFonts w:cs="Times New Roman"/>
          <w:sz w:val="22"/>
          <w:szCs w:val="22"/>
        </w:rPr>
        <w:t>governmental efforts to</w:t>
      </w:r>
      <w:r>
        <w:rPr>
          <w:rFonts w:cs="Times New Roman"/>
          <w:sz w:val="22"/>
          <w:szCs w:val="22"/>
        </w:rPr>
        <w:t xml:space="preserve"> regulate </w:t>
      </w:r>
      <w:r w:rsidRPr="00BC502E">
        <w:rPr>
          <w:rFonts w:cs="Times New Roman"/>
          <w:sz w:val="22"/>
          <w:szCs w:val="22"/>
        </w:rPr>
        <w:t>cryptoassets.</w:t>
      </w:r>
    </w:p>
    <w:p w14:paraId="0107EA49" w14:textId="77777777" w:rsidR="00FF6FB3" w:rsidRPr="002B4C22" w:rsidRDefault="00FF6FB3" w:rsidP="00FF6FB3">
      <w:pPr>
        <w:pStyle w:val="ListParagraph"/>
        <w:spacing w:after="0" w:line="276" w:lineRule="auto"/>
        <w:ind w:left="1800"/>
        <w:jc w:val="both"/>
        <w:rPr>
          <w:rFonts w:cs="Times New Roman"/>
          <w:b/>
          <w:sz w:val="22"/>
          <w:szCs w:val="22"/>
        </w:rPr>
      </w:pPr>
    </w:p>
    <w:p w14:paraId="27B3A6BF" w14:textId="77777777" w:rsidR="00FF6FB3" w:rsidRPr="002B4C22" w:rsidRDefault="00FF6FB3" w:rsidP="00FF6FB3">
      <w:pPr>
        <w:pStyle w:val="ListParagraph"/>
        <w:spacing w:after="0" w:line="276" w:lineRule="auto"/>
        <w:ind w:left="0"/>
        <w:rPr>
          <w:rFonts w:cs="Times New Roman"/>
          <w:b/>
          <w:sz w:val="22"/>
          <w:szCs w:val="22"/>
        </w:rPr>
      </w:pPr>
      <w:r w:rsidRPr="002B4C22">
        <w:rPr>
          <w:rFonts w:cs="Times New Roman"/>
          <w:b/>
          <w:sz w:val="22"/>
          <w:szCs w:val="22"/>
        </w:rPr>
        <w:t>Grading</w:t>
      </w:r>
    </w:p>
    <w:p w14:paraId="3210B805" w14:textId="77777777" w:rsidR="00FF6FB3" w:rsidRPr="002B4C22" w:rsidRDefault="00FF6FB3" w:rsidP="00FF6FB3">
      <w:pPr>
        <w:pStyle w:val="ListParagraph"/>
        <w:spacing w:after="0" w:line="276" w:lineRule="auto"/>
        <w:ind w:left="0"/>
        <w:rPr>
          <w:rFonts w:cs="Times New Roman"/>
          <w:b/>
          <w:sz w:val="22"/>
          <w:szCs w:val="22"/>
        </w:rPr>
      </w:pPr>
    </w:p>
    <w:p w14:paraId="4670537F" w14:textId="77777777" w:rsidR="00FF6FB3" w:rsidRPr="00620AE1" w:rsidRDefault="00FF6FB3" w:rsidP="00FF6FB3">
      <w:pPr>
        <w:pStyle w:val="ListParagraph"/>
        <w:tabs>
          <w:tab w:val="left" w:pos="720"/>
        </w:tabs>
        <w:spacing w:after="0" w:line="276" w:lineRule="auto"/>
        <w:jc w:val="both"/>
        <w:rPr>
          <w:rFonts w:cs="Times New Roman"/>
          <w:sz w:val="22"/>
          <w:szCs w:val="22"/>
        </w:rPr>
      </w:pPr>
      <w:r w:rsidRPr="002B4C22">
        <w:rPr>
          <w:rFonts w:cs="Times New Roman"/>
          <w:sz w:val="22"/>
          <w:szCs w:val="22"/>
        </w:rPr>
        <w:t>You will be graded on the basis of a final exam to be administered two weeks after the last day of class.</w:t>
      </w:r>
      <w:r>
        <w:rPr>
          <w:rFonts w:cs="Times New Roman"/>
          <w:sz w:val="22"/>
          <w:szCs w:val="22"/>
        </w:rPr>
        <w:t xml:space="preserve">  </w:t>
      </w:r>
      <w:r w:rsidRPr="00620AE1">
        <w:rPr>
          <w:rFonts w:cs="Times New Roman"/>
          <w:sz w:val="22"/>
          <w:szCs w:val="22"/>
        </w:rPr>
        <w:t xml:space="preserve">This course follows the Levin College of Law’s policy on grading, which may be found </w:t>
      </w:r>
      <w:hyperlink r:id="rId8" w:history="1">
        <w:r w:rsidRPr="00620AE1">
          <w:rPr>
            <w:rStyle w:val="Hyperlink"/>
            <w:rFonts w:cs="Times New Roman"/>
            <w:sz w:val="22"/>
            <w:szCs w:val="22"/>
          </w:rPr>
          <w:t>here</w:t>
        </w:r>
      </w:hyperlink>
      <w:r w:rsidRPr="00620AE1">
        <w:rPr>
          <w:rFonts w:cs="Times New Roman"/>
          <w:sz w:val="22"/>
          <w:szCs w:val="22"/>
        </w:rPr>
        <w:t xml:space="preserve">.  The below chart describes the policy’s specific letter grade and point equivalent: </w:t>
      </w:r>
    </w:p>
    <w:p w14:paraId="5E400FC1" w14:textId="77777777" w:rsidR="00FF6FB3" w:rsidRPr="002B4C22" w:rsidRDefault="00FF6FB3" w:rsidP="00FF6FB3">
      <w:pPr>
        <w:pStyle w:val="ListParagraph"/>
        <w:tabs>
          <w:tab w:val="left" w:pos="720"/>
        </w:tabs>
        <w:spacing w:after="0" w:line="276" w:lineRule="auto"/>
        <w:rPr>
          <w:rFonts w:cs="Times New Roman"/>
          <w:sz w:val="22"/>
          <w:szCs w:val="22"/>
        </w:rPr>
      </w:pPr>
    </w:p>
    <w:tbl>
      <w:tblPr>
        <w:tblStyle w:val="GridTable2-Accent6"/>
        <w:tblW w:w="0" w:type="auto"/>
        <w:tblInd w:w="612" w:type="dxa"/>
        <w:tblLook w:val="04A0" w:firstRow="1" w:lastRow="0" w:firstColumn="1" w:lastColumn="0" w:noHBand="0" w:noVBand="1"/>
      </w:tblPr>
      <w:tblGrid>
        <w:gridCol w:w="1288"/>
        <w:gridCol w:w="1611"/>
      </w:tblGrid>
      <w:tr w:rsidR="00FF6FB3" w:rsidRPr="002B4C22" w14:paraId="78AE3397" w14:textId="77777777" w:rsidTr="00F30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AA954C0" w14:textId="77777777" w:rsidR="00FF6FB3" w:rsidRPr="00620AE1" w:rsidRDefault="00FF6FB3" w:rsidP="00F303FA">
            <w:pPr>
              <w:spacing w:line="276" w:lineRule="auto"/>
              <w:rPr>
                <w:rFonts w:cs="Times New Roman"/>
                <w:sz w:val="20"/>
                <w:szCs w:val="20"/>
              </w:rPr>
            </w:pPr>
            <w:r w:rsidRPr="00620AE1">
              <w:rPr>
                <w:rFonts w:cs="Times New Roman"/>
                <w:sz w:val="20"/>
                <w:szCs w:val="20"/>
              </w:rPr>
              <w:t>Letter grade</w:t>
            </w:r>
          </w:p>
        </w:tc>
        <w:tc>
          <w:tcPr>
            <w:tcW w:w="0" w:type="auto"/>
          </w:tcPr>
          <w:p w14:paraId="2D252A56" w14:textId="77777777" w:rsidR="00FF6FB3" w:rsidRPr="00620AE1" w:rsidRDefault="00FF6FB3" w:rsidP="00F303FA">
            <w:pPr>
              <w:spacing w:line="276" w:lineRule="auto"/>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620AE1">
              <w:rPr>
                <w:rFonts w:cs="Times New Roman"/>
                <w:sz w:val="20"/>
                <w:szCs w:val="20"/>
              </w:rPr>
              <w:t>Point equivalent</w:t>
            </w:r>
          </w:p>
          <w:p w14:paraId="05D5DDE4" w14:textId="77777777" w:rsidR="00FF6FB3" w:rsidRPr="00620AE1" w:rsidRDefault="00FF6FB3" w:rsidP="00F303FA">
            <w:pPr>
              <w:spacing w:line="276" w:lineRule="auto"/>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r>
      <w:tr w:rsidR="00FF6FB3" w:rsidRPr="002B4C22" w14:paraId="34A993AD" w14:textId="77777777" w:rsidTr="00F30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FE17CC" w14:textId="77777777" w:rsidR="00FF6FB3" w:rsidRPr="00620AE1" w:rsidRDefault="00FF6FB3" w:rsidP="00F303FA">
            <w:pPr>
              <w:spacing w:line="276" w:lineRule="auto"/>
              <w:rPr>
                <w:rFonts w:cs="Times New Roman"/>
                <w:b w:val="0"/>
                <w:sz w:val="20"/>
                <w:szCs w:val="20"/>
              </w:rPr>
            </w:pPr>
            <w:r w:rsidRPr="00620AE1">
              <w:rPr>
                <w:rFonts w:cs="Times New Roman"/>
                <w:b w:val="0"/>
                <w:sz w:val="20"/>
                <w:szCs w:val="20"/>
              </w:rPr>
              <w:t xml:space="preserve">A </w:t>
            </w:r>
          </w:p>
          <w:p w14:paraId="27E3D556" w14:textId="77777777" w:rsidR="00FF6FB3" w:rsidRPr="00620AE1" w:rsidRDefault="00FF6FB3" w:rsidP="00F303FA">
            <w:pPr>
              <w:spacing w:line="276" w:lineRule="auto"/>
              <w:rPr>
                <w:rFonts w:cs="Times New Roman"/>
                <w:b w:val="0"/>
                <w:sz w:val="20"/>
                <w:szCs w:val="20"/>
              </w:rPr>
            </w:pPr>
          </w:p>
        </w:tc>
        <w:tc>
          <w:tcPr>
            <w:tcW w:w="0" w:type="auto"/>
          </w:tcPr>
          <w:p w14:paraId="6A7C111E" w14:textId="77777777" w:rsidR="00FF6FB3" w:rsidRPr="00620AE1" w:rsidRDefault="00FF6FB3" w:rsidP="00F303FA">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0AE1">
              <w:rPr>
                <w:rFonts w:cs="Times New Roman"/>
                <w:sz w:val="20"/>
                <w:szCs w:val="20"/>
              </w:rPr>
              <w:t>4.0</w:t>
            </w:r>
          </w:p>
        </w:tc>
      </w:tr>
      <w:tr w:rsidR="00FF6FB3" w:rsidRPr="002B4C22" w14:paraId="728603C7" w14:textId="77777777" w:rsidTr="00F303FA">
        <w:tc>
          <w:tcPr>
            <w:cnfStyle w:val="001000000000" w:firstRow="0" w:lastRow="0" w:firstColumn="1" w:lastColumn="0" w:oddVBand="0" w:evenVBand="0" w:oddHBand="0" w:evenHBand="0" w:firstRowFirstColumn="0" w:firstRowLastColumn="0" w:lastRowFirstColumn="0" w:lastRowLastColumn="0"/>
            <w:tcW w:w="0" w:type="auto"/>
          </w:tcPr>
          <w:p w14:paraId="68931D46" w14:textId="77777777" w:rsidR="00FF6FB3" w:rsidRPr="00620AE1" w:rsidRDefault="00FF6FB3" w:rsidP="00F303FA">
            <w:pPr>
              <w:spacing w:line="276" w:lineRule="auto"/>
              <w:rPr>
                <w:rFonts w:cs="Times New Roman"/>
                <w:b w:val="0"/>
                <w:sz w:val="20"/>
                <w:szCs w:val="20"/>
              </w:rPr>
            </w:pPr>
            <w:r w:rsidRPr="00620AE1">
              <w:rPr>
                <w:rFonts w:cs="Times New Roman"/>
                <w:b w:val="0"/>
                <w:sz w:val="20"/>
                <w:szCs w:val="20"/>
              </w:rPr>
              <w:t>A-</w:t>
            </w:r>
          </w:p>
          <w:p w14:paraId="6ED706EE" w14:textId="77777777" w:rsidR="00FF6FB3" w:rsidRPr="00620AE1" w:rsidRDefault="00FF6FB3" w:rsidP="00F303FA">
            <w:pPr>
              <w:spacing w:line="276" w:lineRule="auto"/>
              <w:rPr>
                <w:rFonts w:cs="Times New Roman"/>
                <w:b w:val="0"/>
                <w:sz w:val="20"/>
                <w:szCs w:val="20"/>
              </w:rPr>
            </w:pPr>
          </w:p>
        </w:tc>
        <w:tc>
          <w:tcPr>
            <w:tcW w:w="0" w:type="auto"/>
          </w:tcPr>
          <w:p w14:paraId="4A31C601" w14:textId="77777777" w:rsidR="00FF6FB3" w:rsidRPr="00620AE1" w:rsidRDefault="00FF6FB3" w:rsidP="00F303FA">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0AE1">
              <w:rPr>
                <w:rFonts w:cs="Times New Roman"/>
                <w:sz w:val="20"/>
                <w:szCs w:val="20"/>
              </w:rPr>
              <w:t>3.67</w:t>
            </w:r>
          </w:p>
        </w:tc>
      </w:tr>
      <w:tr w:rsidR="00FF6FB3" w:rsidRPr="002B4C22" w14:paraId="1481D15B" w14:textId="77777777" w:rsidTr="00F30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4BED52" w14:textId="77777777" w:rsidR="00FF6FB3" w:rsidRPr="00620AE1" w:rsidRDefault="00FF6FB3" w:rsidP="00F303FA">
            <w:pPr>
              <w:spacing w:line="276" w:lineRule="auto"/>
              <w:rPr>
                <w:rFonts w:cs="Times New Roman"/>
                <w:b w:val="0"/>
                <w:sz w:val="20"/>
                <w:szCs w:val="20"/>
              </w:rPr>
            </w:pPr>
            <w:r w:rsidRPr="00620AE1">
              <w:rPr>
                <w:rFonts w:cs="Times New Roman"/>
                <w:b w:val="0"/>
                <w:sz w:val="20"/>
                <w:szCs w:val="20"/>
              </w:rPr>
              <w:t>B+</w:t>
            </w:r>
          </w:p>
          <w:p w14:paraId="6DDC185C" w14:textId="77777777" w:rsidR="00FF6FB3" w:rsidRPr="00620AE1" w:rsidRDefault="00FF6FB3" w:rsidP="00F303FA">
            <w:pPr>
              <w:spacing w:line="276" w:lineRule="auto"/>
              <w:rPr>
                <w:rFonts w:cs="Times New Roman"/>
                <w:b w:val="0"/>
                <w:sz w:val="20"/>
                <w:szCs w:val="20"/>
              </w:rPr>
            </w:pPr>
          </w:p>
        </w:tc>
        <w:tc>
          <w:tcPr>
            <w:tcW w:w="0" w:type="auto"/>
          </w:tcPr>
          <w:p w14:paraId="2F9F7CC1" w14:textId="77777777" w:rsidR="00FF6FB3" w:rsidRPr="00620AE1" w:rsidRDefault="00FF6FB3" w:rsidP="00F303FA">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0AE1">
              <w:rPr>
                <w:rFonts w:cs="Times New Roman"/>
                <w:sz w:val="20"/>
                <w:szCs w:val="20"/>
              </w:rPr>
              <w:t>3.33</w:t>
            </w:r>
          </w:p>
        </w:tc>
      </w:tr>
      <w:tr w:rsidR="00FF6FB3" w:rsidRPr="002B4C22" w14:paraId="7D4327F2" w14:textId="77777777" w:rsidTr="00F303FA">
        <w:tc>
          <w:tcPr>
            <w:cnfStyle w:val="001000000000" w:firstRow="0" w:lastRow="0" w:firstColumn="1" w:lastColumn="0" w:oddVBand="0" w:evenVBand="0" w:oddHBand="0" w:evenHBand="0" w:firstRowFirstColumn="0" w:firstRowLastColumn="0" w:lastRowFirstColumn="0" w:lastRowLastColumn="0"/>
            <w:tcW w:w="0" w:type="auto"/>
          </w:tcPr>
          <w:p w14:paraId="53495059" w14:textId="77777777" w:rsidR="00FF6FB3" w:rsidRPr="00620AE1" w:rsidRDefault="00FF6FB3" w:rsidP="00F303FA">
            <w:pPr>
              <w:spacing w:line="276" w:lineRule="auto"/>
              <w:rPr>
                <w:rFonts w:cs="Times New Roman"/>
                <w:b w:val="0"/>
                <w:sz w:val="20"/>
                <w:szCs w:val="20"/>
              </w:rPr>
            </w:pPr>
            <w:r w:rsidRPr="00620AE1">
              <w:rPr>
                <w:rFonts w:cs="Times New Roman"/>
                <w:b w:val="0"/>
                <w:sz w:val="20"/>
                <w:szCs w:val="20"/>
              </w:rPr>
              <w:t>B</w:t>
            </w:r>
          </w:p>
          <w:p w14:paraId="3E9C3A54" w14:textId="77777777" w:rsidR="00FF6FB3" w:rsidRPr="00620AE1" w:rsidRDefault="00FF6FB3" w:rsidP="00F303FA">
            <w:pPr>
              <w:spacing w:line="276" w:lineRule="auto"/>
              <w:rPr>
                <w:rFonts w:cs="Times New Roman"/>
                <w:b w:val="0"/>
                <w:sz w:val="20"/>
                <w:szCs w:val="20"/>
              </w:rPr>
            </w:pPr>
          </w:p>
        </w:tc>
        <w:tc>
          <w:tcPr>
            <w:tcW w:w="0" w:type="auto"/>
          </w:tcPr>
          <w:p w14:paraId="0A7673BF" w14:textId="77777777" w:rsidR="00FF6FB3" w:rsidRPr="00620AE1" w:rsidRDefault="00FF6FB3" w:rsidP="00F303FA">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0AE1">
              <w:rPr>
                <w:rFonts w:cs="Times New Roman"/>
                <w:sz w:val="20"/>
                <w:szCs w:val="20"/>
              </w:rPr>
              <w:lastRenderedPageBreak/>
              <w:t>3.0</w:t>
            </w:r>
          </w:p>
        </w:tc>
      </w:tr>
      <w:tr w:rsidR="00FF6FB3" w:rsidRPr="002B4C22" w14:paraId="004F5448" w14:textId="77777777" w:rsidTr="00F30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606CA6" w14:textId="77777777" w:rsidR="00FF6FB3" w:rsidRPr="00620AE1" w:rsidRDefault="00FF6FB3" w:rsidP="00F303FA">
            <w:pPr>
              <w:spacing w:line="276" w:lineRule="auto"/>
              <w:rPr>
                <w:rFonts w:cs="Times New Roman"/>
                <w:b w:val="0"/>
                <w:sz w:val="20"/>
                <w:szCs w:val="20"/>
              </w:rPr>
            </w:pPr>
            <w:r w:rsidRPr="00620AE1">
              <w:rPr>
                <w:rFonts w:cs="Times New Roman"/>
                <w:b w:val="0"/>
                <w:sz w:val="20"/>
                <w:szCs w:val="20"/>
              </w:rPr>
              <w:t>B-</w:t>
            </w:r>
          </w:p>
          <w:p w14:paraId="5234C7FD" w14:textId="77777777" w:rsidR="00FF6FB3" w:rsidRPr="00620AE1" w:rsidRDefault="00FF6FB3" w:rsidP="00F303FA">
            <w:pPr>
              <w:spacing w:line="276" w:lineRule="auto"/>
              <w:rPr>
                <w:rFonts w:cs="Times New Roman"/>
                <w:b w:val="0"/>
                <w:sz w:val="20"/>
                <w:szCs w:val="20"/>
              </w:rPr>
            </w:pPr>
          </w:p>
        </w:tc>
        <w:tc>
          <w:tcPr>
            <w:tcW w:w="0" w:type="auto"/>
          </w:tcPr>
          <w:p w14:paraId="4DE90AC7" w14:textId="77777777" w:rsidR="00FF6FB3" w:rsidRPr="00620AE1" w:rsidRDefault="00FF6FB3" w:rsidP="00F303FA">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0AE1">
              <w:rPr>
                <w:rFonts w:cs="Times New Roman"/>
                <w:sz w:val="20"/>
                <w:szCs w:val="20"/>
              </w:rPr>
              <w:t>2.67</w:t>
            </w:r>
          </w:p>
        </w:tc>
      </w:tr>
      <w:tr w:rsidR="00FF6FB3" w:rsidRPr="002B4C22" w14:paraId="707289C0" w14:textId="77777777" w:rsidTr="00F303FA">
        <w:tc>
          <w:tcPr>
            <w:cnfStyle w:val="001000000000" w:firstRow="0" w:lastRow="0" w:firstColumn="1" w:lastColumn="0" w:oddVBand="0" w:evenVBand="0" w:oddHBand="0" w:evenHBand="0" w:firstRowFirstColumn="0" w:firstRowLastColumn="0" w:lastRowFirstColumn="0" w:lastRowLastColumn="0"/>
            <w:tcW w:w="0" w:type="auto"/>
          </w:tcPr>
          <w:p w14:paraId="7E60F56A" w14:textId="77777777" w:rsidR="00FF6FB3" w:rsidRPr="00620AE1" w:rsidRDefault="00FF6FB3" w:rsidP="00F303FA">
            <w:pPr>
              <w:spacing w:line="276" w:lineRule="auto"/>
              <w:rPr>
                <w:rFonts w:cs="Times New Roman"/>
                <w:b w:val="0"/>
                <w:sz w:val="20"/>
                <w:szCs w:val="20"/>
              </w:rPr>
            </w:pPr>
            <w:r w:rsidRPr="00620AE1">
              <w:rPr>
                <w:rFonts w:cs="Times New Roman"/>
                <w:b w:val="0"/>
                <w:sz w:val="20"/>
                <w:szCs w:val="20"/>
              </w:rPr>
              <w:t>C+</w:t>
            </w:r>
          </w:p>
          <w:p w14:paraId="68B3EA9A" w14:textId="77777777" w:rsidR="00FF6FB3" w:rsidRPr="00620AE1" w:rsidRDefault="00FF6FB3" w:rsidP="00F303FA">
            <w:pPr>
              <w:spacing w:line="276" w:lineRule="auto"/>
              <w:rPr>
                <w:rFonts w:cs="Times New Roman"/>
                <w:b w:val="0"/>
                <w:sz w:val="20"/>
                <w:szCs w:val="20"/>
              </w:rPr>
            </w:pPr>
          </w:p>
        </w:tc>
        <w:tc>
          <w:tcPr>
            <w:tcW w:w="0" w:type="auto"/>
          </w:tcPr>
          <w:p w14:paraId="593C115A" w14:textId="77777777" w:rsidR="00FF6FB3" w:rsidRPr="00620AE1" w:rsidRDefault="00FF6FB3" w:rsidP="00F303FA">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0AE1">
              <w:rPr>
                <w:rFonts w:cs="Times New Roman"/>
                <w:sz w:val="20"/>
                <w:szCs w:val="20"/>
              </w:rPr>
              <w:t>2.33</w:t>
            </w:r>
          </w:p>
        </w:tc>
      </w:tr>
      <w:tr w:rsidR="00FF6FB3" w:rsidRPr="002B4C22" w14:paraId="22CCEDF0" w14:textId="77777777" w:rsidTr="00F30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1B85B4" w14:textId="77777777" w:rsidR="00FF6FB3" w:rsidRPr="00620AE1" w:rsidRDefault="00FF6FB3" w:rsidP="00F303FA">
            <w:pPr>
              <w:spacing w:line="276" w:lineRule="auto"/>
              <w:rPr>
                <w:rFonts w:cs="Times New Roman"/>
                <w:b w:val="0"/>
                <w:sz w:val="20"/>
                <w:szCs w:val="20"/>
              </w:rPr>
            </w:pPr>
            <w:r w:rsidRPr="00620AE1">
              <w:rPr>
                <w:rFonts w:cs="Times New Roman"/>
                <w:b w:val="0"/>
                <w:sz w:val="20"/>
                <w:szCs w:val="20"/>
              </w:rPr>
              <w:t xml:space="preserve">C </w:t>
            </w:r>
          </w:p>
          <w:p w14:paraId="3BE54D71" w14:textId="77777777" w:rsidR="00FF6FB3" w:rsidRPr="00620AE1" w:rsidRDefault="00FF6FB3" w:rsidP="00F303FA">
            <w:pPr>
              <w:spacing w:line="276" w:lineRule="auto"/>
              <w:rPr>
                <w:rFonts w:cs="Times New Roman"/>
                <w:b w:val="0"/>
                <w:sz w:val="20"/>
                <w:szCs w:val="20"/>
              </w:rPr>
            </w:pPr>
          </w:p>
        </w:tc>
        <w:tc>
          <w:tcPr>
            <w:tcW w:w="0" w:type="auto"/>
          </w:tcPr>
          <w:p w14:paraId="66D8B60D" w14:textId="77777777" w:rsidR="00FF6FB3" w:rsidRPr="00620AE1" w:rsidRDefault="00FF6FB3" w:rsidP="00F303FA">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0AE1">
              <w:rPr>
                <w:rFonts w:cs="Times New Roman"/>
                <w:sz w:val="20"/>
                <w:szCs w:val="20"/>
              </w:rPr>
              <w:t>2.0</w:t>
            </w:r>
          </w:p>
        </w:tc>
      </w:tr>
      <w:tr w:rsidR="00FF6FB3" w:rsidRPr="002B4C22" w14:paraId="404599DE" w14:textId="77777777" w:rsidTr="00F303FA">
        <w:tc>
          <w:tcPr>
            <w:cnfStyle w:val="001000000000" w:firstRow="0" w:lastRow="0" w:firstColumn="1" w:lastColumn="0" w:oddVBand="0" w:evenVBand="0" w:oddHBand="0" w:evenHBand="0" w:firstRowFirstColumn="0" w:firstRowLastColumn="0" w:lastRowFirstColumn="0" w:lastRowLastColumn="0"/>
            <w:tcW w:w="0" w:type="auto"/>
          </w:tcPr>
          <w:p w14:paraId="2AD0C22B" w14:textId="77777777" w:rsidR="00FF6FB3" w:rsidRPr="00620AE1" w:rsidRDefault="00FF6FB3" w:rsidP="00F303FA">
            <w:pPr>
              <w:spacing w:line="276" w:lineRule="auto"/>
              <w:rPr>
                <w:rFonts w:cs="Times New Roman"/>
                <w:b w:val="0"/>
                <w:sz w:val="20"/>
                <w:szCs w:val="20"/>
              </w:rPr>
            </w:pPr>
            <w:r w:rsidRPr="00620AE1">
              <w:rPr>
                <w:rFonts w:cs="Times New Roman"/>
                <w:b w:val="0"/>
                <w:sz w:val="20"/>
                <w:szCs w:val="20"/>
              </w:rPr>
              <w:t>C-</w:t>
            </w:r>
          </w:p>
          <w:p w14:paraId="25B5A505" w14:textId="77777777" w:rsidR="00FF6FB3" w:rsidRPr="00620AE1" w:rsidRDefault="00FF6FB3" w:rsidP="00F303FA">
            <w:pPr>
              <w:spacing w:line="276" w:lineRule="auto"/>
              <w:rPr>
                <w:rFonts w:cs="Times New Roman"/>
                <w:b w:val="0"/>
                <w:sz w:val="20"/>
                <w:szCs w:val="20"/>
              </w:rPr>
            </w:pPr>
          </w:p>
        </w:tc>
        <w:tc>
          <w:tcPr>
            <w:tcW w:w="0" w:type="auto"/>
          </w:tcPr>
          <w:p w14:paraId="4488698A" w14:textId="77777777" w:rsidR="00FF6FB3" w:rsidRPr="00620AE1" w:rsidRDefault="00FF6FB3" w:rsidP="00F303FA">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0AE1">
              <w:rPr>
                <w:rFonts w:cs="Times New Roman"/>
                <w:sz w:val="20"/>
                <w:szCs w:val="20"/>
              </w:rPr>
              <w:t>1.67</w:t>
            </w:r>
          </w:p>
        </w:tc>
      </w:tr>
      <w:tr w:rsidR="00FF6FB3" w:rsidRPr="002B4C22" w14:paraId="7B382DE3" w14:textId="77777777" w:rsidTr="00F30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2C9F1B" w14:textId="77777777" w:rsidR="00FF6FB3" w:rsidRPr="00620AE1" w:rsidRDefault="00FF6FB3" w:rsidP="00F303FA">
            <w:pPr>
              <w:spacing w:line="276" w:lineRule="auto"/>
              <w:rPr>
                <w:rFonts w:cs="Times New Roman"/>
                <w:b w:val="0"/>
                <w:sz w:val="20"/>
                <w:szCs w:val="20"/>
              </w:rPr>
            </w:pPr>
            <w:r w:rsidRPr="00620AE1">
              <w:rPr>
                <w:rFonts w:cs="Times New Roman"/>
                <w:b w:val="0"/>
                <w:sz w:val="20"/>
                <w:szCs w:val="20"/>
              </w:rPr>
              <w:t>D+</w:t>
            </w:r>
          </w:p>
          <w:p w14:paraId="4FE0B742" w14:textId="77777777" w:rsidR="00FF6FB3" w:rsidRPr="00620AE1" w:rsidRDefault="00FF6FB3" w:rsidP="00F303FA">
            <w:pPr>
              <w:spacing w:line="276" w:lineRule="auto"/>
              <w:rPr>
                <w:rFonts w:cs="Times New Roman"/>
                <w:b w:val="0"/>
                <w:sz w:val="20"/>
                <w:szCs w:val="20"/>
              </w:rPr>
            </w:pPr>
          </w:p>
        </w:tc>
        <w:tc>
          <w:tcPr>
            <w:tcW w:w="0" w:type="auto"/>
          </w:tcPr>
          <w:p w14:paraId="7AE340C1" w14:textId="77777777" w:rsidR="00FF6FB3" w:rsidRPr="00620AE1" w:rsidRDefault="00FF6FB3" w:rsidP="00F303FA">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0AE1">
              <w:rPr>
                <w:rFonts w:cs="Times New Roman"/>
                <w:sz w:val="20"/>
                <w:szCs w:val="20"/>
              </w:rPr>
              <w:t>1.33</w:t>
            </w:r>
          </w:p>
        </w:tc>
      </w:tr>
      <w:tr w:rsidR="00FF6FB3" w:rsidRPr="002B4C22" w14:paraId="171D2878" w14:textId="77777777" w:rsidTr="00F303FA">
        <w:tc>
          <w:tcPr>
            <w:cnfStyle w:val="001000000000" w:firstRow="0" w:lastRow="0" w:firstColumn="1" w:lastColumn="0" w:oddVBand="0" w:evenVBand="0" w:oddHBand="0" w:evenHBand="0" w:firstRowFirstColumn="0" w:firstRowLastColumn="0" w:lastRowFirstColumn="0" w:lastRowLastColumn="0"/>
            <w:tcW w:w="0" w:type="auto"/>
          </w:tcPr>
          <w:p w14:paraId="35454E62" w14:textId="77777777" w:rsidR="00FF6FB3" w:rsidRPr="00620AE1" w:rsidRDefault="00FF6FB3" w:rsidP="00F303FA">
            <w:pPr>
              <w:spacing w:line="276" w:lineRule="auto"/>
              <w:rPr>
                <w:rFonts w:cs="Times New Roman"/>
                <w:b w:val="0"/>
                <w:sz w:val="20"/>
                <w:szCs w:val="20"/>
              </w:rPr>
            </w:pPr>
            <w:r w:rsidRPr="00620AE1">
              <w:rPr>
                <w:rFonts w:cs="Times New Roman"/>
                <w:b w:val="0"/>
                <w:sz w:val="20"/>
                <w:szCs w:val="20"/>
              </w:rPr>
              <w:t>D-</w:t>
            </w:r>
          </w:p>
        </w:tc>
        <w:tc>
          <w:tcPr>
            <w:tcW w:w="0" w:type="auto"/>
          </w:tcPr>
          <w:p w14:paraId="3EDCD540" w14:textId="77777777" w:rsidR="00FF6FB3" w:rsidRPr="00620AE1" w:rsidRDefault="00FF6FB3" w:rsidP="00F303FA">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0AE1">
              <w:rPr>
                <w:rFonts w:cs="Times New Roman"/>
                <w:sz w:val="20"/>
                <w:szCs w:val="20"/>
              </w:rPr>
              <w:t>0.67</w:t>
            </w:r>
          </w:p>
          <w:p w14:paraId="38EDD550" w14:textId="77777777" w:rsidR="00FF6FB3" w:rsidRPr="00620AE1" w:rsidRDefault="00FF6FB3" w:rsidP="00F303FA">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FF6FB3" w:rsidRPr="002B4C22" w14:paraId="039F9547" w14:textId="77777777" w:rsidTr="00F30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A6453B" w14:textId="77777777" w:rsidR="00FF6FB3" w:rsidRPr="00620AE1" w:rsidRDefault="00FF6FB3" w:rsidP="00F303FA">
            <w:pPr>
              <w:spacing w:line="276" w:lineRule="auto"/>
              <w:rPr>
                <w:rFonts w:cs="Times New Roman"/>
                <w:b w:val="0"/>
                <w:sz w:val="20"/>
                <w:szCs w:val="20"/>
              </w:rPr>
            </w:pPr>
            <w:r w:rsidRPr="00620AE1">
              <w:rPr>
                <w:rFonts w:cs="Times New Roman"/>
                <w:b w:val="0"/>
                <w:sz w:val="20"/>
                <w:szCs w:val="20"/>
              </w:rPr>
              <w:t>E (failure)</w:t>
            </w:r>
          </w:p>
        </w:tc>
        <w:tc>
          <w:tcPr>
            <w:tcW w:w="0" w:type="auto"/>
          </w:tcPr>
          <w:p w14:paraId="09BAC6C6" w14:textId="77777777" w:rsidR="00FF6FB3" w:rsidRPr="00620AE1" w:rsidRDefault="00FF6FB3" w:rsidP="00F303FA">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0AE1">
              <w:rPr>
                <w:rFonts w:cs="Times New Roman"/>
                <w:sz w:val="20"/>
                <w:szCs w:val="20"/>
              </w:rPr>
              <w:t>0.0</w:t>
            </w:r>
          </w:p>
          <w:p w14:paraId="5D684157" w14:textId="77777777" w:rsidR="00FF6FB3" w:rsidRPr="00620AE1" w:rsidRDefault="00FF6FB3" w:rsidP="00F303FA">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bl>
    <w:p w14:paraId="1C2E8323" w14:textId="77777777" w:rsidR="00FF6FB3" w:rsidRPr="002B4C22" w:rsidRDefault="00FF6FB3" w:rsidP="00FF6FB3">
      <w:pPr>
        <w:pStyle w:val="ListParagraph"/>
        <w:spacing w:after="0" w:line="276" w:lineRule="auto"/>
        <w:rPr>
          <w:rFonts w:cs="Times New Roman"/>
          <w:sz w:val="22"/>
          <w:szCs w:val="22"/>
        </w:rPr>
      </w:pPr>
    </w:p>
    <w:p w14:paraId="3F698DFD" w14:textId="77777777" w:rsidR="00FF6FB3" w:rsidRPr="002B4C22" w:rsidRDefault="00FF6FB3" w:rsidP="00FF6FB3">
      <w:pPr>
        <w:pStyle w:val="ListParagraph"/>
        <w:spacing w:after="0" w:line="276" w:lineRule="auto"/>
        <w:jc w:val="both"/>
        <w:rPr>
          <w:rFonts w:cs="Times New Roman"/>
          <w:sz w:val="22"/>
          <w:szCs w:val="22"/>
        </w:rPr>
      </w:pPr>
      <w:r w:rsidRPr="002B4C22">
        <w:rPr>
          <w:rFonts w:cs="Times New Roman"/>
          <w:sz w:val="22"/>
          <w:szCs w:val="22"/>
        </w:rPr>
        <w:t xml:space="preserve">The Levin College of Law’s policy on exam delays and accommodations may be found </w:t>
      </w:r>
      <w:hyperlink r:id="rId9" w:history="1">
        <w:r w:rsidRPr="002B4C22">
          <w:rPr>
            <w:rStyle w:val="Hyperlink"/>
            <w:rFonts w:cs="Times New Roman"/>
            <w:sz w:val="22"/>
            <w:szCs w:val="22"/>
          </w:rPr>
          <w:t>here</w:t>
        </w:r>
      </w:hyperlink>
      <w:r w:rsidRPr="002B4C22">
        <w:rPr>
          <w:rFonts w:cs="Times New Roman"/>
          <w:sz w:val="22"/>
          <w:szCs w:val="22"/>
        </w:rPr>
        <w:t>.</w:t>
      </w:r>
    </w:p>
    <w:p w14:paraId="4F78E632" w14:textId="77777777" w:rsidR="00FF6FB3" w:rsidRPr="002B4C22" w:rsidRDefault="00FF6FB3" w:rsidP="00FF6FB3">
      <w:pPr>
        <w:pStyle w:val="ListParagraph"/>
        <w:spacing w:after="0" w:line="276" w:lineRule="auto"/>
        <w:ind w:left="0"/>
        <w:rPr>
          <w:rFonts w:cs="Times New Roman"/>
          <w:b/>
          <w:sz w:val="22"/>
          <w:szCs w:val="22"/>
        </w:rPr>
      </w:pPr>
    </w:p>
    <w:p w14:paraId="6C23EA59" w14:textId="77777777" w:rsidR="00FF6FB3" w:rsidRPr="002B4C22" w:rsidRDefault="00FF6FB3" w:rsidP="00FF6FB3">
      <w:pPr>
        <w:pStyle w:val="ListParagraph"/>
        <w:spacing w:after="0" w:line="276" w:lineRule="auto"/>
        <w:ind w:left="0"/>
        <w:rPr>
          <w:rFonts w:cs="Times New Roman"/>
          <w:b/>
          <w:sz w:val="22"/>
          <w:szCs w:val="22"/>
        </w:rPr>
      </w:pPr>
      <w:r w:rsidRPr="002B4C22">
        <w:rPr>
          <w:rFonts w:cs="Times New Roman"/>
          <w:b/>
          <w:sz w:val="22"/>
          <w:szCs w:val="22"/>
        </w:rPr>
        <w:t>Class attendance and preparation</w:t>
      </w:r>
    </w:p>
    <w:p w14:paraId="38E23E89" w14:textId="77777777" w:rsidR="00FF6FB3" w:rsidRPr="002B4C22" w:rsidRDefault="00FF6FB3" w:rsidP="00FF6FB3">
      <w:pPr>
        <w:pStyle w:val="ListParagraph"/>
        <w:spacing w:after="0" w:line="276" w:lineRule="auto"/>
        <w:ind w:left="0"/>
        <w:rPr>
          <w:rFonts w:cs="Times New Roman"/>
          <w:b/>
          <w:sz w:val="22"/>
          <w:szCs w:val="22"/>
        </w:rPr>
      </w:pPr>
    </w:p>
    <w:p w14:paraId="5A85DE51" w14:textId="77777777" w:rsidR="00FF6FB3" w:rsidRPr="002B4C22" w:rsidRDefault="00FF6FB3" w:rsidP="00FF6FB3">
      <w:pPr>
        <w:pStyle w:val="ListParagraph"/>
        <w:spacing w:after="0" w:line="276" w:lineRule="auto"/>
        <w:jc w:val="both"/>
        <w:rPr>
          <w:rFonts w:cs="Times New Roman"/>
          <w:sz w:val="22"/>
          <w:szCs w:val="22"/>
        </w:rPr>
      </w:pPr>
      <w:r w:rsidRPr="002B4C22">
        <w:rPr>
          <w:rFonts w:cs="Times New Roman"/>
          <w:sz w:val="22"/>
          <w:szCs w:val="22"/>
        </w:rPr>
        <w:t xml:space="preserve">This is a compressed course and daily attendance is mandatory.  Missing more than one class hour may result in a reduction of your final grade.  Missing more than two class hours may result in a failing grade or no credit for the course.  Excessive lateness may also result in a grade penalty.  </w:t>
      </w:r>
    </w:p>
    <w:p w14:paraId="5CAEAD61" w14:textId="77777777" w:rsidR="00FF6FB3" w:rsidRPr="002B4C22" w:rsidRDefault="00FF6FB3" w:rsidP="00FF6FB3">
      <w:pPr>
        <w:pStyle w:val="ListParagraph"/>
        <w:spacing w:after="0" w:line="276" w:lineRule="auto"/>
        <w:jc w:val="both"/>
        <w:rPr>
          <w:rFonts w:cs="Times New Roman"/>
          <w:sz w:val="22"/>
          <w:szCs w:val="22"/>
        </w:rPr>
      </w:pPr>
    </w:p>
    <w:p w14:paraId="343E47EB" w14:textId="77777777" w:rsidR="00FF6FB3" w:rsidRPr="002B4C22" w:rsidRDefault="00FF6FB3" w:rsidP="00FF6FB3">
      <w:pPr>
        <w:pStyle w:val="ListParagraph"/>
        <w:spacing w:after="0" w:line="276" w:lineRule="auto"/>
        <w:jc w:val="both"/>
        <w:rPr>
          <w:rFonts w:cs="Times New Roman"/>
          <w:sz w:val="22"/>
          <w:szCs w:val="22"/>
        </w:rPr>
      </w:pPr>
      <w:r w:rsidRPr="002B4C22">
        <w:rPr>
          <w:rFonts w:cs="Times New Roman"/>
          <w:sz w:val="22"/>
          <w:szCs w:val="22"/>
        </w:rPr>
        <w:t xml:space="preserve">The Levin College of Law’s policy on attendance may be found </w:t>
      </w:r>
      <w:hyperlink r:id="rId10" w:anchor=":~:text=co%2Dcurricular%20activities.-,Attendance,regular%20and%20punctual%20class%20attendance.&amp;text=UF%20Law%20policy%20permits%20dismissal,of%2012%20credits%20per%20semester." w:history="1">
        <w:r w:rsidRPr="002B4C22">
          <w:rPr>
            <w:rStyle w:val="Hyperlink"/>
            <w:rFonts w:cs="Times New Roman"/>
            <w:sz w:val="22"/>
            <w:szCs w:val="22"/>
          </w:rPr>
          <w:t>here</w:t>
        </w:r>
      </w:hyperlink>
      <w:r w:rsidRPr="002B4C22">
        <w:rPr>
          <w:rFonts w:cs="Times New Roman"/>
          <w:sz w:val="22"/>
          <w:szCs w:val="22"/>
        </w:rPr>
        <w:t xml:space="preserve">.  </w:t>
      </w:r>
    </w:p>
    <w:p w14:paraId="5459C881" w14:textId="77777777" w:rsidR="00FF6FB3" w:rsidRPr="002B4C22" w:rsidRDefault="00FF6FB3" w:rsidP="00FF6FB3">
      <w:pPr>
        <w:pStyle w:val="ListParagraph"/>
        <w:spacing w:after="0" w:line="276" w:lineRule="auto"/>
        <w:jc w:val="both"/>
        <w:rPr>
          <w:rFonts w:cs="Times New Roman"/>
          <w:sz w:val="22"/>
          <w:szCs w:val="22"/>
        </w:rPr>
      </w:pPr>
    </w:p>
    <w:p w14:paraId="136DD74E" w14:textId="77777777" w:rsidR="00FF6FB3" w:rsidRPr="002B4C22" w:rsidRDefault="00FF6FB3" w:rsidP="00FF6FB3">
      <w:pPr>
        <w:pStyle w:val="ListParagraph"/>
        <w:spacing w:after="0" w:line="276" w:lineRule="auto"/>
        <w:jc w:val="both"/>
        <w:rPr>
          <w:rFonts w:cs="Times New Roman"/>
          <w:sz w:val="22"/>
          <w:szCs w:val="22"/>
        </w:rPr>
      </w:pPr>
      <w:r w:rsidRPr="002B4C22">
        <w:rPr>
          <w:rFonts w:cs="Times New Roman"/>
          <w:sz w:val="22"/>
          <w:szCs w:val="22"/>
        </w:rPr>
        <w:t>You should spend at least two hours outside of class reading and preparing for every hour of class.</w:t>
      </w:r>
    </w:p>
    <w:p w14:paraId="77E98806" w14:textId="77777777" w:rsidR="00FF6FB3" w:rsidRPr="002B4C22" w:rsidRDefault="00FF6FB3" w:rsidP="00FF6FB3">
      <w:pPr>
        <w:pStyle w:val="ListParagraph"/>
        <w:spacing w:after="0" w:line="276" w:lineRule="auto"/>
        <w:rPr>
          <w:rFonts w:cs="Times New Roman"/>
          <w:sz w:val="22"/>
          <w:szCs w:val="22"/>
        </w:rPr>
      </w:pPr>
    </w:p>
    <w:p w14:paraId="55145354" w14:textId="77777777" w:rsidR="00FF6FB3" w:rsidRPr="002B4C22" w:rsidRDefault="00FF6FB3" w:rsidP="00FF6FB3">
      <w:pPr>
        <w:pStyle w:val="ListParagraph"/>
        <w:spacing w:after="0" w:line="276" w:lineRule="auto"/>
        <w:ind w:left="0"/>
        <w:rPr>
          <w:rFonts w:cs="Times New Roman"/>
          <w:b/>
          <w:sz w:val="22"/>
          <w:szCs w:val="22"/>
        </w:rPr>
      </w:pPr>
      <w:r w:rsidRPr="002B4C22">
        <w:rPr>
          <w:rFonts w:cs="Times New Roman"/>
          <w:b/>
          <w:sz w:val="22"/>
          <w:szCs w:val="22"/>
        </w:rPr>
        <w:t xml:space="preserve">Students with disabilities </w:t>
      </w:r>
    </w:p>
    <w:p w14:paraId="07CD8ED1" w14:textId="77777777" w:rsidR="00FF6FB3" w:rsidRPr="002B4C22" w:rsidRDefault="00FF6FB3" w:rsidP="00FF6FB3">
      <w:pPr>
        <w:pStyle w:val="ListParagraph"/>
        <w:spacing w:after="0" w:line="276" w:lineRule="auto"/>
        <w:ind w:left="0"/>
        <w:rPr>
          <w:rFonts w:cs="Times New Roman"/>
          <w:b/>
          <w:sz w:val="22"/>
          <w:szCs w:val="22"/>
        </w:rPr>
      </w:pPr>
    </w:p>
    <w:p w14:paraId="73EC9E79" w14:textId="77777777" w:rsidR="00FF6FB3" w:rsidRPr="002B4C22" w:rsidRDefault="00FF6FB3" w:rsidP="00FF6FB3">
      <w:pPr>
        <w:pStyle w:val="ListParagraph"/>
        <w:spacing w:after="0" w:line="276" w:lineRule="auto"/>
        <w:jc w:val="both"/>
        <w:rPr>
          <w:rFonts w:cs="Times New Roman"/>
          <w:sz w:val="22"/>
          <w:szCs w:val="22"/>
        </w:rPr>
      </w:pPr>
      <w:r w:rsidRPr="002B4C22">
        <w:rPr>
          <w:rFonts w:cs="Times New Roman"/>
          <w:sz w:val="22"/>
          <w:szCs w:val="22"/>
        </w:rPr>
        <w:t xml:space="preserve">Students with disabilities who experience learning barriers and would like to request academic accommodations should connect with the Disability Resource Center.  Click </w:t>
      </w:r>
      <w:hyperlink r:id="rId11" w:history="1">
        <w:r w:rsidRPr="002B4C22">
          <w:rPr>
            <w:rStyle w:val="Hyperlink"/>
            <w:rFonts w:cs="Times New Roman"/>
            <w:sz w:val="22"/>
            <w:szCs w:val="22"/>
          </w:rPr>
          <w:t>here</w:t>
        </w:r>
      </w:hyperlink>
      <w:r w:rsidRPr="002B4C22">
        <w:rPr>
          <w:rFonts w:cs="Times New Roman"/>
          <w:sz w:val="22"/>
          <w:szCs w:val="22"/>
        </w:rPr>
        <w:t xml:space="preserve"> to get started with the Disability Resource Center.  It is important for students to share their accommodation letter with their instructor and discuss their access needs as early as possible in the semester.</w:t>
      </w:r>
    </w:p>
    <w:p w14:paraId="57886AC9" w14:textId="77777777" w:rsidR="00FF6FB3" w:rsidRPr="002B4C22" w:rsidRDefault="00FF6FB3" w:rsidP="00FF6FB3">
      <w:pPr>
        <w:pStyle w:val="ListParagraph"/>
        <w:spacing w:after="0" w:line="276" w:lineRule="auto"/>
        <w:ind w:left="0"/>
        <w:rPr>
          <w:rFonts w:cs="Times New Roman"/>
          <w:sz w:val="22"/>
          <w:szCs w:val="22"/>
        </w:rPr>
      </w:pPr>
    </w:p>
    <w:p w14:paraId="27759157" w14:textId="77777777" w:rsidR="00FF6FB3" w:rsidRPr="002B4C22" w:rsidRDefault="00FF6FB3" w:rsidP="00FF6FB3">
      <w:pPr>
        <w:pStyle w:val="ListParagraph"/>
        <w:spacing w:after="0" w:line="276" w:lineRule="auto"/>
        <w:ind w:left="0"/>
        <w:rPr>
          <w:rFonts w:cs="Times New Roman"/>
          <w:b/>
          <w:sz w:val="22"/>
          <w:szCs w:val="22"/>
        </w:rPr>
      </w:pPr>
      <w:r w:rsidRPr="002B4C22">
        <w:rPr>
          <w:rFonts w:cs="Times New Roman"/>
          <w:b/>
          <w:sz w:val="22"/>
          <w:szCs w:val="22"/>
        </w:rPr>
        <w:t>Course evaluation</w:t>
      </w:r>
    </w:p>
    <w:p w14:paraId="645574CB" w14:textId="77777777" w:rsidR="00FF6FB3" w:rsidRPr="002B4C22" w:rsidRDefault="00FF6FB3" w:rsidP="00FF6FB3">
      <w:pPr>
        <w:pStyle w:val="ListParagraph"/>
        <w:spacing w:after="0" w:line="276" w:lineRule="auto"/>
        <w:ind w:left="0"/>
        <w:rPr>
          <w:rFonts w:cs="Times New Roman"/>
          <w:b/>
          <w:sz w:val="22"/>
          <w:szCs w:val="22"/>
        </w:rPr>
      </w:pPr>
    </w:p>
    <w:p w14:paraId="3D6E86CF" w14:textId="77777777" w:rsidR="00FF6FB3" w:rsidRPr="002B4C22" w:rsidRDefault="00FF6FB3" w:rsidP="00FF6FB3">
      <w:pPr>
        <w:pStyle w:val="ListParagraph"/>
        <w:spacing w:after="0" w:line="276" w:lineRule="auto"/>
        <w:jc w:val="both"/>
        <w:rPr>
          <w:rFonts w:cs="Times New Roman"/>
          <w:sz w:val="22"/>
          <w:szCs w:val="22"/>
        </w:rPr>
      </w:pPr>
      <w:r w:rsidRPr="002B4C22">
        <w:rPr>
          <w:rFonts w:cs="Times New Roman"/>
          <w:sz w:val="22"/>
          <w:szCs w:val="22"/>
        </w:rPr>
        <w:t xml:space="preserve">You are expected to provide feedback on the quality of instruction in this course by completing an online course evaluation.  Click </w:t>
      </w:r>
      <w:hyperlink r:id="rId12" w:history="1">
        <w:r w:rsidRPr="002B4C22">
          <w:rPr>
            <w:rStyle w:val="Hyperlink"/>
            <w:rFonts w:cs="Times New Roman"/>
            <w:sz w:val="22"/>
            <w:szCs w:val="22"/>
          </w:rPr>
          <w:t>here</w:t>
        </w:r>
      </w:hyperlink>
      <w:r w:rsidRPr="002B4C22">
        <w:rPr>
          <w:rFonts w:cs="Times New Roman"/>
          <w:sz w:val="22"/>
          <w:szCs w:val="22"/>
        </w:rPr>
        <w:t xml:space="preserve"> for guidance on providing feedback.  You will be notified when the evaluation period opens and you may complete the evaluation through the email you receive from GatorEvals, in your Canvas course menu under GatorEvals, or via </w:t>
      </w:r>
      <w:hyperlink r:id="rId13" w:history="1">
        <w:r w:rsidRPr="002B4C22">
          <w:rPr>
            <w:rStyle w:val="Hyperlink"/>
            <w:rFonts w:cs="Times New Roman"/>
            <w:sz w:val="22"/>
            <w:szCs w:val="22"/>
          </w:rPr>
          <w:t>https://ufl.bluera.com/ufl/</w:t>
        </w:r>
      </w:hyperlink>
      <w:r w:rsidRPr="002B4C22">
        <w:rPr>
          <w:rFonts w:cs="Times New Roman"/>
          <w:sz w:val="22"/>
          <w:szCs w:val="22"/>
        </w:rPr>
        <w:t xml:space="preserve">.  Summaries of course evaluation results are available </w:t>
      </w:r>
      <w:hyperlink r:id="rId14" w:history="1">
        <w:r w:rsidRPr="002B4C22">
          <w:rPr>
            <w:rStyle w:val="Hyperlink"/>
            <w:rFonts w:cs="Times New Roman"/>
            <w:sz w:val="22"/>
            <w:szCs w:val="22"/>
          </w:rPr>
          <w:t>here</w:t>
        </w:r>
      </w:hyperlink>
      <w:r w:rsidRPr="002B4C22">
        <w:rPr>
          <w:rFonts w:cs="Times New Roman"/>
          <w:sz w:val="22"/>
          <w:szCs w:val="22"/>
        </w:rPr>
        <w:t>.</w:t>
      </w:r>
    </w:p>
    <w:p w14:paraId="632D104B" w14:textId="77777777" w:rsidR="00FF6FB3" w:rsidRDefault="00FF6FB3" w:rsidP="00FF6FB3">
      <w:pPr>
        <w:pStyle w:val="ListParagraph"/>
        <w:spacing w:after="0" w:line="276" w:lineRule="auto"/>
        <w:rPr>
          <w:rFonts w:cs="Times New Roman"/>
          <w:sz w:val="22"/>
          <w:szCs w:val="22"/>
        </w:rPr>
      </w:pPr>
    </w:p>
    <w:p w14:paraId="3268778B" w14:textId="77777777" w:rsidR="00C06B60" w:rsidRDefault="00C06B60" w:rsidP="00FF6FB3">
      <w:pPr>
        <w:pStyle w:val="ListParagraph"/>
        <w:spacing w:after="0" w:line="276" w:lineRule="auto"/>
        <w:rPr>
          <w:rFonts w:cs="Times New Roman"/>
          <w:sz w:val="22"/>
          <w:szCs w:val="22"/>
        </w:rPr>
      </w:pPr>
    </w:p>
    <w:p w14:paraId="0383684A" w14:textId="77777777" w:rsidR="00C06B60" w:rsidRPr="00AA2DEF" w:rsidRDefault="00C06B60" w:rsidP="00C06B60">
      <w:pPr>
        <w:rPr>
          <w:b/>
          <w:bCs/>
          <w:color w:val="201F1E"/>
          <w:sz w:val="22"/>
          <w:szCs w:val="22"/>
          <w:u w:val="single"/>
          <w:bdr w:val="none" w:sz="0" w:space="0" w:color="auto" w:frame="1"/>
          <w:shd w:val="clear" w:color="auto" w:fill="FFFFFF"/>
        </w:rPr>
      </w:pPr>
      <w:r w:rsidRPr="00AA2DEF">
        <w:rPr>
          <w:b/>
          <w:bCs/>
          <w:color w:val="201F1E"/>
          <w:sz w:val="22"/>
          <w:szCs w:val="22"/>
          <w:u w:val="single"/>
          <w:bdr w:val="none" w:sz="0" w:space="0" w:color="auto" w:frame="1"/>
          <w:shd w:val="clear" w:color="auto" w:fill="FFFFFF"/>
        </w:rPr>
        <w:t xml:space="preserve">UF </w:t>
      </w:r>
      <w:r>
        <w:rPr>
          <w:b/>
          <w:bCs/>
          <w:color w:val="201F1E"/>
          <w:sz w:val="22"/>
          <w:szCs w:val="22"/>
          <w:u w:val="single"/>
          <w:bdr w:val="none" w:sz="0" w:space="0" w:color="auto" w:frame="1"/>
          <w:shd w:val="clear" w:color="auto" w:fill="FFFFFF"/>
        </w:rPr>
        <w:t xml:space="preserve">LEVIN </w:t>
      </w:r>
      <w:r w:rsidRPr="00AA2DEF">
        <w:rPr>
          <w:b/>
          <w:bCs/>
          <w:color w:val="201F1E"/>
          <w:sz w:val="22"/>
          <w:szCs w:val="22"/>
          <w:u w:val="single"/>
          <w:bdr w:val="none" w:sz="0" w:space="0" w:color="auto" w:frame="1"/>
          <w:shd w:val="clear" w:color="auto" w:fill="FFFFFF"/>
        </w:rPr>
        <w:t xml:space="preserve">COLLEGE OF LAW </w:t>
      </w:r>
      <w:r>
        <w:rPr>
          <w:b/>
          <w:bCs/>
          <w:color w:val="201F1E"/>
          <w:sz w:val="22"/>
          <w:szCs w:val="22"/>
          <w:u w:val="single"/>
          <w:bdr w:val="none" w:sz="0" w:space="0" w:color="auto" w:frame="1"/>
          <w:shd w:val="clear" w:color="auto" w:fill="FFFFFF"/>
        </w:rPr>
        <w:t xml:space="preserve">STANDARD SYLLABUS </w:t>
      </w:r>
      <w:r w:rsidRPr="00AA2DEF">
        <w:rPr>
          <w:b/>
          <w:bCs/>
          <w:color w:val="201F1E"/>
          <w:sz w:val="22"/>
          <w:szCs w:val="22"/>
          <w:u w:val="single"/>
          <w:bdr w:val="none" w:sz="0" w:space="0" w:color="auto" w:frame="1"/>
          <w:shd w:val="clear" w:color="auto" w:fill="FFFFFF"/>
        </w:rPr>
        <w:t>POLICIES:</w:t>
      </w:r>
    </w:p>
    <w:p w14:paraId="6344A23E" w14:textId="77777777" w:rsidR="00C06B60" w:rsidRPr="00F14D25" w:rsidRDefault="00C06B60" w:rsidP="00C06B60">
      <w:pPr>
        <w:rPr>
          <w:color w:val="201F1E"/>
          <w:sz w:val="22"/>
          <w:szCs w:val="22"/>
          <w:bdr w:val="none" w:sz="0" w:space="0" w:color="auto" w:frame="1"/>
          <w:shd w:val="clear" w:color="auto" w:fill="FFFFFF"/>
        </w:rPr>
      </w:pPr>
      <w:r w:rsidRPr="00386722">
        <w:rPr>
          <w:color w:val="201F1E"/>
          <w:sz w:val="22"/>
          <w:szCs w:val="22"/>
          <w:bdr w:val="none" w:sz="0" w:space="0" w:color="auto" w:frame="1"/>
          <w:shd w:val="clear" w:color="auto" w:fill="FFFFFF"/>
        </w:rPr>
        <w:t xml:space="preserve">Other information about </w:t>
      </w:r>
      <w:r w:rsidRPr="00AA2DEF">
        <w:rPr>
          <w:color w:val="201F1E"/>
          <w:sz w:val="22"/>
          <w:szCs w:val="22"/>
          <w:bdr w:val="none" w:sz="0" w:space="0" w:color="auto" w:frame="1"/>
          <w:shd w:val="clear" w:color="auto" w:fill="FFFFFF"/>
        </w:rPr>
        <w:t xml:space="preserve">UF </w:t>
      </w:r>
      <w:r>
        <w:rPr>
          <w:color w:val="201F1E"/>
          <w:sz w:val="22"/>
          <w:szCs w:val="22"/>
          <w:bdr w:val="none" w:sz="0" w:space="0" w:color="auto" w:frame="1"/>
          <w:shd w:val="clear" w:color="auto" w:fill="FFFFFF"/>
        </w:rPr>
        <w:t xml:space="preserve">Levin </w:t>
      </w:r>
      <w:r w:rsidRPr="00AA2DEF">
        <w:rPr>
          <w:color w:val="201F1E"/>
          <w:sz w:val="22"/>
          <w:szCs w:val="22"/>
          <w:bdr w:val="none" w:sz="0" w:space="0" w:color="auto" w:frame="1"/>
          <w:shd w:val="clear" w:color="auto" w:fill="FFFFFF"/>
        </w:rPr>
        <w:t>College of Law</w:t>
      </w:r>
      <w:r w:rsidRPr="00386722">
        <w:rPr>
          <w:color w:val="201F1E"/>
          <w:sz w:val="22"/>
          <w:szCs w:val="22"/>
          <w:bdr w:val="none" w:sz="0" w:space="0" w:color="auto" w:frame="1"/>
          <w:shd w:val="clear" w:color="auto" w:fill="FFFFFF"/>
        </w:rPr>
        <w:t xml:space="preserve"> policies, including compliance with the U</w:t>
      </w:r>
      <w:r w:rsidRPr="00AA2DEF">
        <w:rPr>
          <w:color w:val="201F1E"/>
          <w:sz w:val="22"/>
          <w:szCs w:val="22"/>
          <w:bdr w:val="none" w:sz="0" w:space="0" w:color="auto" w:frame="1"/>
          <w:shd w:val="clear" w:color="auto" w:fill="FFFFFF"/>
        </w:rPr>
        <w:t xml:space="preserve">F </w:t>
      </w:r>
      <w:r w:rsidRPr="00386722">
        <w:rPr>
          <w:color w:val="201F1E"/>
          <w:sz w:val="22"/>
          <w:szCs w:val="22"/>
          <w:bdr w:val="none" w:sz="0" w:space="0" w:color="auto" w:frame="1"/>
          <w:shd w:val="clear" w:color="auto" w:fill="FFFFFF"/>
        </w:rPr>
        <w:t xml:space="preserve">Honor Code, </w:t>
      </w:r>
      <w:r w:rsidRPr="00F14D25">
        <w:rPr>
          <w:color w:val="201F1E"/>
          <w:sz w:val="22"/>
          <w:szCs w:val="22"/>
          <w:bdr w:val="none" w:sz="0" w:space="0" w:color="auto" w:frame="1"/>
          <w:shd w:val="clear" w:color="auto" w:fill="FFFFFF"/>
        </w:rPr>
        <w:t xml:space="preserve">Grading, Accommodations, Class Recordings, and Course Evaluations can be found at this link: </w:t>
      </w:r>
      <w:hyperlink r:id="rId15" w:tgtFrame="_blank" w:history="1">
        <w:r w:rsidRPr="00F14D25">
          <w:rPr>
            <w:rStyle w:val="Hyperlink"/>
            <w:sz w:val="22"/>
            <w:szCs w:val="22"/>
            <w:bdr w:val="none" w:sz="0" w:space="0" w:color="auto" w:frame="1"/>
            <w:shd w:val="clear" w:color="auto" w:fill="FFFFFF"/>
          </w:rPr>
          <w:t>https://ufl.instructure.com/courses/427635/files/74674656?wrap=1</w:t>
        </w:r>
      </w:hyperlink>
      <w:r w:rsidRPr="00F14D25">
        <w:rPr>
          <w:sz w:val="22"/>
          <w:szCs w:val="22"/>
        </w:rPr>
        <w:t>.</w:t>
      </w:r>
    </w:p>
    <w:p w14:paraId="4405333E" w14:textId="77777777" w:rsidR="00C06B60" w:rsidRDefault="00C06B60" w:rsidP="00FF6FB3">
      <w:pPr>
        <w:pStyle w:val="ListParagraph"/>
        <w:spacing w:after="0" w:line="276" w:lineRule="auto"/>
        <w:rPr>
          <w:rFonts w:cs="Times New Roman"/>
          <w:sz w:val="22"/>
          <w:szCs w:val="22"/>
        </w:rPr>
      </w:pPr>
    </w:p>
    <w:p w14:paraId="0936A992" w14:textId="77777777" w:rsidR="00C06B60" w:rsidRDefault="00C06B60" w:rsidP="00FF6FB3">
      <w:pPr>
        <w:pStyle w:val="ListParagraph"/>
        <w:spacing w:after="0" w:line="276" w:lineRule="auto"/>
        <w:rPr>
          <w:rFonts w:cs="Times New Roman"/>
          <w:sz w:val="22"/>
          <w:szCs w:val="22"/>
        </w:rPr>
      </w:pPr>
    </w:p>
    <w:p w14:paraId="54367EBA" w14:textId="4C19F1A0" w:rsidR="00C06B60" w:rsidRPr="00C06B60" w:rsidRDefault="00C06B60" w:rsidP="00C06B60">
      <w:pPr>
        <w:spacing w:after="0" w:line="276" w:lineRule="auto"/>
        <w:jc w:val="center"/>
        <w:rPr>
          <w:rFonts w:cs="Times New Roman"/>
          <w:sz w:val="22"/>
          <w:szCs w:val="22"/>
        </w:rPr>
        <w:sectPr w:rsidR="00C06B60" w:rsidRPr="00C06B60" w:rsidSect="00DA5ED3">
          <w:headerReference w:type="default" r:id="rId16"/>
          <w:footerReference w:type="default" r:id="rId17"/>
          <w:endnotePr>
            <w:numFmt w:val="decimal"/>
          </w:endnotePr>
          <w:pgSz w:w="12240" w:h="15840"/>
          <w:pgMar w:top="1440" w:right="1440" w:bottom="1440" w:left="1440" w:header="720" w:footer="720" w:gutter="0"/>
          <w:cols w:space="720"/>
          <w:docGrid w:linePitch="360"/>
        </w:sectPr>
      </w:pPr>
      <w:r w:rsidRPr="00C06B60">
        <w:rPr>
          <w:rFonts w:cs="Times New Roman"/>
          <w:sz w:val="22"/>
          <w:szCs w:val="22"/>
        </w:rPr>
        <w:t>****REMAINDER OF PAGE LEFT INTENTIONALLY BLANK</w:t>
      </w:r>
      <w:r>
        <w:rPr>
          <w:rFonts w:cs="Times New Roman"/>
          <w:sz w:val="22"/>
          <w:szCs w:val="22"/>
        </w:rPr>
        <w:t>****</w:t>
      </w:r>
    </w:p>
    <w:tbl>
      <w:tblPr>
        <w:tblStyle w:val="GridTable2-Accent6"/>
        <w:tblW w:w="0" w:type="auto"/>
        <w:tblLook w:val="04A0" w:firstRow="1" w:lastRow="0" w:firstColumn="1" w:lastColumn="0" w:noHBand="0" w:noVBand="1"/>
      </w:tblPr>
      <w:tblGrid>
        <w:gridCol w:w="1469"/>
        <w:gridCol w:w="1797"/>
        <w:gridCol w:w="1760"/>
        <w:gridCol w:w="9374"/>
      </w:tblGrid>
      <w:tr w:rsidR="004D7E5F" w:rsidRPr="002B4C22" w14:paraId="217590CC" w14:textId="77777777" w:rsidTr="00F30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A88301" w14:textId="77777777" w:rsidR="00FF6FB3" w:rsidRPr="0084121C" w:rsidRDefault="00FF6FB3" w:rsidP="00F303FA">
            <w:pPr>
              <w:spacing w:line="276" w:lineRule="auto"/>
              <w:contextualSpacing/>
              <w:rPr>
                <w:rFonts w:cs="Times New Roman"/>
                <w:sz w:val="20"/>
                <w:szCs w:val="20"/>
              </w:rPr>
            </w:pPr>
            <w:r w:rsidRPr="0084121C">
              <w:rPr>
                <w:rFonts w:cs="Times New Roman"/>
                <w:sz w:val="20"/>
                <w:szCs w:val="20"/>
              </w:rPr>
              <w:lastRenderedPageBreak/>
              <w:t>Class time</w:t>
            </w:r>
          </w:p>
        </w:tc>
        <w:tc>
          <w:tcPr>
            <w:tcW w:w="0" w:type="auto"/>
          </w:tcPr>
          <w:p w14:paraId="60B6AA9B" w14:textId="77777777" w:rsidR="00FF6FB3" w:rsidRPr="0084121C" w:rsidRDefault="00FF6FB3" w:rsidP="00F303FA">
            <w:pPr>
              <w:spacing w:line="276" w:lineRule="auto"/>
              <w:contextualSpacing/>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84121C">
              <w:rPr>
                <w:rFonts w:cs="Times New Roman"/>
                <w:sz w:val="20"/>
                <w:szCs w:val="20"/>
              </w:rPr>
              <w:t>Topic</w:t>
            </w:r>
          </w:p>
        </w:tc>
        <w:tc>
          <w:tcPr>
            <w:tcW w:w="0" w:type="auto"/>
          </w:tcPr>
          <w:p w14:paraId="5ABBF611" w14:textId="77777777" w:rsidR="00FF6FB3" w:rsidRPr="0084121C" w:rsidRDefault="00FF6FB3" w:rsidP="00F303FA">
            <w:pPr>
              <w:spacing w:line="276" w:lineRule="auto"/>
              <w:contextualSpacing/>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84121C">
              <w:rPr>
                <w:rFonts w:cs="Times New Roman"/>
                <w:sz w:val="20"/>
                <w:szCs w:val="20"/>
              </w:rPr>
              <w:t>Sub-topics</w:t>
            </w:r>
          </w:p>
          <w:p w14:paraId="77DBCA61" w14:textId="77777777" w:rsidR="00FF6FB3" w:rsidRPr="0084121C" w:rsidRDefault="00FF6FB3" w:rsidP="00F303FA">
            <w:pPr>
              <w:spacing w:line="276" w:lineRule="auto"/>
              <w:contextualSpacing/>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c>
          <w:tcPr>
            <w:tcW w:w="0" w:type="auto"/>
          </w:tcPr>
          <w:p w14:paraId="45EFF422" w14:textId="77777777" w:rsidR="00FF6FB3" w:rsidRPr="0084121C" w:rsidRDefault="00FF6FB3" w:rsidP="00F303FA">
            <w:pPr>
              <w:spacing w:line="276" w:lineRule="auto"/>
              <w:contextualSpacing/>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84121C">
              <w:rPr>
                <w:rFonts w:cs="Times New Roman"/>
                <w:sz w:val="20"/>
                <w:szCs w:val="20"/>
              </w:rPr>
              <w:t>Reading</w:t>
            </w:r>
            <w:r w:rsidRPr="0084121C">
              <w:rPr>
                <w:rFonts w:cs="Times New Roman"/>
                <w:b w:val="0"/>
                <w:sz w:val="20"/>
                <w:szCs w:val="20"/>
              </w:rPr>
              <w:t xml:space="preserve"> </w:t>
            </w:r>
          </w:p>
        </w:tc>
      </w:tr>
      <w:tr w:rsidR="004D7E5F" w:rsidRPr="002B4C22" w14:paraId="7B9FEFCB" w14:textId="77777777" w:rsidTr="00F30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640B0C9" w14:textId="4BDFCDA5" w:rsidR="00FF6FB3" w:rsidRPr="0084121C" w:rsidRDefault="00FF6FB3" w:rsidP="00F303FA">
            <w:pPr>
              <w:spacing w:line="276" w:lineRule="auto"/>
              <w:rPr>
                <w:rFonts w:cs="Times New Roman"/>
                <w:b w:val="0"/>
                <w:bCs w:val="0"/>
                <w:sz w:val="20"/>
                <w:szCs w:val="20"/>
              </w:rPr>
            </w:pPr>
            <w:r w:rsidRPr="0084121C">
              <w:rPr>
                <w:rFonts w:cs="Times New Roman"/>
                <w:b w:val="0"/>
                <w:bCs w:val="0"/>
                <w:sz w:val="20"/>
                <w:szCs w:val="20"/>
              </w:rPr>
              <w:t>Monday, August 12, 2024, 1 pm-4:30 pm</w:t>
            </w:r>
          </w:p>
          <w:p w14:paraId="6ACADE37" w14:textId="77777777" w:rsidR="00FF6FB3" w:rsidRPr="0084121C" w:rsidRDefault="00FF6FB3" w:rsidP="00F303FA">
            <w:pPr>
              <w:pStyle w:val="ListParagraph"/>
              <w:spacing w:line="276" w:lineRule="auto"/>
              <w:ind w:left="360"/>
              <w:rPr>
                <w:rFonts w:cs="Times New Roman"/>
                <w:b w:val="0"/>
                <w:bCs w:val="0"/>
                <w:sz w:val="20"/>
                <w:szCs w:val="20"/>
              </w:rPr>
            </w:pPr>
          </w:p>
        </w:tc>
        <w:tc>
          <w:tcPr>
            <w:tcW w:w="0" w:type="auto"/>
            <w:vMerge w:val="restart"/>
          </w:tcPr>
          <w:p w14:paraId="03BBE3F6" w14:textId="77777777" w:rsidR="00FF6FB3" w:rsidRPr="0084121C" w:rsidRDefault="00FF6FB3" w:rsidP="00F303FA">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121C">
              <w:rPr>
                <w:rFonts w:cs="Times New Roman"/>
                <w:sz w:val="20"/>
                <w:szCs w:val="20"/>
              </w:rPr>
              <w:t xml:space="preserve">Introduction to financial services and financial regulation </w:t>
            </w:r>
          </w:p>
          <w:p w14:paraId="5A251122" w14:textId="77777777" w:rsidR="00FF6FB3" w:rsidRPr="0084121C" w:rsidRDefault="00FF6FB3" w:rsidP="00F303FA">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tcPr>
          <w:p w14:paraId="20856698" w14:textId="77777777" w:rsidR="00FF6FB3" w:rsidRDefault="00FF6FB3" w:rsidP="00DD2E2A">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121C">
              <w:rPr>
                <w:rFonts w:cs="Times New Roman"/>
                <w:sz w:val="20"/>
                <w:szCs w:val="20"/>
              </w:rPr>
              <w:t xml:space="preserve">The functions of finance and financial services in the United States </w:t>
            </w:r>
          </w:p>
          <w:p w14:paraId="6FF577E8" w14:textId="53D418E2" w:rsidR="00DD2E2A" w:rsidRPr="0084121C" w:rsidRDefault="00DD2E2A" w:rsidP="00DD2E2A">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tcPr>
          <w:p w14:paraId="3705FBF6" w14:textId="77777777" w:rsidR="00FF6FB3" w:rsidRPr="0084121C" w:rsidRDefault="00FF6FB3" w:rsidP="00FF6FB3">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121C">
              <w:rPr>
                <w:rFonts w:cs="Times New Roman"/>
                <w:sz w:val="20"/>
                <w:szCs w:val="20"/>
              </w:rPr>
              <w:t xml:space="preserve">Michael S. Barr, Howell E. Jackson, and Margaret E. Tahyar, </w:t>
            </w:r>
            <w:r w:rsidRPr="0084121C">
              <w:rPr>
                <w:rFonts w:cs="Times New Roman"/>
                <w:i/>
                <w:sz w:val="20"/>
                <w:szCs w:val="20"/>
              </w:rPr>
              <w:t>Financial Regulation: Law and Policy</w:t>
            </w:r>
            <w:r w:rsidRPr="0084121C">
              <w:rPr>
                <w:rFonts w:cs="Times New Roman"/>
                <w:sz w:val="20"/>
                <w:szCs w:val="20"/>
              </w:rPr>
              <w:t xml:space="preserve">, First Edition, Foundation Press (May 3, 2016), chapter 1.1, </w:t>
            </w:r>
            <w:r w:rsidRPr="0084121C">
              <w:rPr>
                <w:rFonts w:cs="Times New Roman"/>
                <w:i/>
                <w:sz w:val="20"/>
                <w:szCs w:val="20"/>
              </w:rPr>
              <w:t>available</w:t>
            </w:r>
            <w:r w:rsidRPr="0084121C">
              <w:rPr>
                <w:rFonts w:cs="Times New Roman"/>
                <w:sz w:val="20"/>
                <w:szCs w:val="20"/>
              </w:rPr>
              <w:t xml:space="preserve"> at </w:t>
            </w:r>
            <w:hyperlink r:id="rId18" w:history="1">
              <w:r w:rsidRPr="005E43F9">
                <w:rPr>
                  <w:rStyle w:val="Hyperlink"/>
                  <w:rFonts w:cs="Times New Roman"/>
                  <w:sz w:val="20"/>
                  <w:szCs w:val="20"/>
                </w:rPr>
                <w:t>https://papers.ssrn.com/sol3/papers.cfm?abstract_id=2778111</w:t>
              </w:r>
            </w:hyperlink>
            <w:r>
              <w:rPr>
                <w:rFonts w:cs="Times New Roman"/>
                <w:sz w:val="20"/>
                <w:szCs w:val="20"/>
              </w:rPr>
              <w:t xml:space="preserve"> </w:t>
            </w:r>
            <w:r w:rsidRPr="0084121C">
              <w:rPr>
                <w:rFonts w:cs="Times New Roman"/>
                <w:sz w:val="20"/>
                <w:szCs w:val="20"/>
              </w:rPr>
              <w:t xml:space="preserve">  </w:t>
            </w:r>
          </w:p>
        </w:tc>
      </w:tr>
      <w:tr w:rsidR="004D7E5F" w:rsidRPr="002B4C22" w14:paraId="063B66BA" w14:textId="77777777" w:rsidTr="00F303FA">
        <w:tc>
          <w:tcPr>
            <w:cnfStyle w:val="001000000000" w:firstRow="0" w:lastRow="0" w:firstColumn="1" w:lastColumn="0" w:oddVBand="0" w:evenVBand="0" w:oddHBand="0" w:evenHBand="0" w:firstRowFirstColumn="0" w:firstRowLastColumn="0" w:lastRowFirstColumn="0" w:lastRowLastColumn="0"/>
            <w:tcW w:w="0" w:type="auto"/>
            <w:vMerge/>
            <w:shd w:val="clear" w:color="auto" w:fill="E2EFD9" w:themeFill="accent6" w:themeFillTint="33"/>
          </w:tcPr>
          <w:p w14:paraId="41BF405F" w14:textId="77777777" w:rsidR="00FF6FB3" w:rsidRPr="0084121C" w:rsidRDefault="00FF6FB3" w:rsidP="00F303FA">
            <w:pPr>
              <w:pStyle w:val="ListParagraph"/>
              <w:spacing w:line="276" w:lineRule="auto"/>
              <w:ind w:left="360"/>
              <w:rPr>
                <w:rFonts w:cs="Times New Roman"/>
                <w:b w:val="0"/>
                <w:bCs w:val="0"/>
                <w:sz w:val="20"/>
                <w:szCs w:val="20"/>
              </w:rPr>
            </w:pPr>
          </w:p>
        </w:tc>
        <w:tc>
          <w:tcPr>
            <w:tcW w:w="0" w:type="auto"/>
            <w:vMerge/>
            <w:shd w:val="clear" w:color="auto" w:fill="E2EFD9" w:themeFill="accent6" w:themeFillTint="33"/>
          </w:tcPr>
          <w:p w14:paraId="61155FA4" w14:textId="77777777" w:rsidR="00FF6FB3" w:rsidRPr="0084121C" w:rsidRDefault="00FF6FB3" w:rsidP="00F303FA">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E2EFD9" w:themeFill="accent6" w:themeFillTint="33"/>
          </w:tcPr>
          <w:p w14:paraId="0C02FC56" w14:textId="0ACB77D0" w:rsidR="00FF6FB3" w:rsidRPr="0084121C" w:rsidRDefault="00FF6FB3" w:rsidP="00F303FA">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121C">
              <w:rPr>
                <w:rFonts w:cs="Times New Roman"/>
                <w:sz w:val="20"/>
                <w:szCs w:val="20"/>
              </w:rPr>
              <w:t>The history of U.S. financial regulation</w:t>
            </w:r>
            <w:r>
              <w:rPr>
                <w:rFonts w:cs="Times New Roman"/>
                <w:sz w:val="20"/>
                <w:szCs w:val="20"/>
              </w:rPr>
              <w:t xml:space="preserve"> </w:t>
            </w:r>
          </w:p>
          <w:p w14:paraId="699715FA" w14:textId="77777777" w:rsidR="00FF6FB3" w:rsidRPr="0084121C" w:rsidRDefault="00FF6FB3" w:rsidP="00F303FA">
            <w:pPr>
              <w:pStyle w:val="ListParagraph"/>
              <w:spacing w:line="276" w:lineRule="auto"/>
              <w:ind w:left="36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E2EFD9" w:themeFill="accent6" w:themeFillTint="33"/>
          </w:tcPr>
          <w:p w14:paraId="64331480" w14:textId="77777777" w:rsidR="00FF6FB3" w:rsidRPr="0084121C" w:rsidRDefault="00FF6FB3" w:rsidP="00FF6FB3">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121C">
              <w:rPr>
                <w:rFonts w:cs="Times New Roman"/>
                <w:sz w:val="20"/>
                <w:szCs w:val="20"/>
              </w:rPr>
              <w:t xml:space="preserve">Alejandro Komani and Gary Richardson, </w:t>
            </w:r>
            <w:r w:rsidRPr="0084121C">
              <w:rPr>
                <w:rFonts w:cs="Times New Roman"/>
                <w:i/>
                <w:sz w:val="20"/>
                <w:szCs w:val="20"/>
              </w:rPr>
              <w:t>A Brief History of Regulations Regarding Financial Markets in the United States: 1789 to 2009</w:t>
            </w:r>
            <w:r w:rsidRPr="0084121C">
              <w:rPr>
                <w:rFonts w:cs="Times New Roman"/>
                <w:sz w:val="20"/>
                <w:szCs w:val="20"/>
              </w:rPr>
              <w:t xml:space="preserve">, Working Paper, National Bureau of Economic Research, </w:t>
            </w:r>
            <w:r w:rsidRPr="0084121C">
              <w:rPr>
                <w:rFonts w:cs="Times New Roman"/>
                <w:i/>
                <w:sz w:val="20"/>
                <w:szCs w:val="20"/>
              </w:rPr>
              <w:t>available</w:t>
            </w:r>
            <w:r w:rsidRPr="0084121C">
              <w:rPr>
                <w:rFonts w:cs="Times New Roman"/>
                <w:sz w:val="20"/>
                <w:szCs w:val="20"/>
              </w:rPr>
              <w:t xml:space="preserve"> at </w:t>
            </w:r>
            <w:hyperlink r:id="rId19" w:history="1">
              <w:r w:rsidRPr="005E43F9">
                <w:rPr>
                  <w:rStyle w:val="Hyperlink"/>
                  <w:rFonts w:cs="Times New Roman"/>
                  <w:sz w:val="20"/>
                  <w:szCs w:val="20"/>
                </w:rPr>
                <w:t>https://www.nber.org/system/files/working_papers/w17443/w17443.pdf</w:t>
              </w:r>
            </w:hyperlink>
            <w:r>
              <w:rPr>
                <w:rFonts w:cs="Times New Roman"/>
                <w:sz w:val="20"/>
                <w:szCs w:val="20"/>
              </w:rPr>
              <w:t xml:space="preserve"> </w:t>
            </w:r>
            <w:r w:rsidRPr="0084121C">
              <w:rPr>
                <w:rFonts w:cs="Times New Roman"/>
                <w:sz w:val="20"/>
                <w:szCs w:val="20"/>
              </w:rPr>
              <w:t xml:space="preserve">  </w:t>
            </w:r>
          </w:p>
          <w:p w14:paraId="16A655EF" w14:textId="77777777" w:rsidR="00FF6FB3" w:rsidRPr="0084121C" w:rsidRDefault="00FF6FB3" w:rsidP="00F303FA">
            <w:pPr>
              <w:pStyle w:val="ListParagraph"/>
              <w:spacing w:line="276" w:lineRule="auto"/>
              <w:ind w:left="36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4D7E5F" w:rsidRPr="002B4C22" w14:paraId="50888002" w14:textId="77777777" w:rsidTr="00F303FA">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0" w:type="auto"/>
            <w:vMerge/>
          </w:tcPr>
          <w:p w14:paraId="2FE0AA30" w14:textId="77777777" w:rsidR="00FF6FB3" w:rsidRPr="0084121C" w:rsidRDefault="00FF6FB3" w:rsidP="00F303FA">
            <w:pPr>
              <w:pStyle w:val="ListParagraph"/>
              <w:spacing w:line="276" w:lineRule="auto"/>
              <w:ind w:left="360"/>
              <w:rPr>
                <w:rFonts w:cs="Times New Roman"/>
                <w:b w:val="0"/>
                <w:bCs w:val="0"/>
                <w:sz w:val="20"/>
                <w:szCs w:val="20"/>
              </w:rPr>
            </w:pPr>
          </w:p>
        </w:tc>
        <w:tc>
          <w:tcPr>
            <w:tcW w:w="0" w:type="auto"/>
            <w:vMerge/>
          </w:tcPr>
          <w:p w14:paraId="58EDCB41" w14:textId="77777777" w:rsidR="00FF6FB3" w:rsidRPr="0084121C" w:rsidRDefault="00FF6FB3" w:rsidP="00F303FA">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tcPr>
          <w:p w14:paraId="22A3F993" w14:textId="705ED7B7" w:rsidR="00FF6FB3" w:rsidRPr="0084121C" w:rsidRDefault="00FF6FB3" w:rsidP="00DD2E2A">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121C">
              <w:rPr>
                <w:rFonts w:cs="Times New Roman"/>
                <w:sz w:val="20"/>
                <w:szCs w:val="20"/>
              </w:rPr>
              <w:t>The goals and structure of U.S. financial regulation</w:t>
            </w:r>
          </w:p>
        </w:tc>
        <w:tc>
          <w:tcPr>
            <w:tcW w:w="0" w:type="auto"/>
          </w:tcPr>
          <w:p w14:paraId="07AA4084" w14:textId="77777777" w:rsidR="00FF6FB3" w:rsidRPr="0084121C" w:rsidRDefault="00FF6FB3" w:rsidP="00FF6FB3">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84121C">
              <w:rPr>
                <w:rFonts w:cs="Times New Roman"/>
                <w:sz w:val="20"/>
                <w:szCs w:val="20"/>
              </w:rPr>
              <w:t xml:space="preserve">Congressional Research Service, </w:t>
            </w:r>
            <w:r w:rsidRPr="0084121C">
              <w:rPr>
                <w:rFonts w:cs="Times New Roman"/>
                <w:i/>
                <w:sz w:val="20"/>
                <w:szCs w:val="20"/>
              </w:rPr>
              <w:t xml:space="preserve">Who Regulates Whom? An Overview of the U.S. Financial Regulatory Framework </w:t>
            </w:r>
            <w:r w:rsidRPr="0084121C">
              <w:rPr>
                <w:rFonts w:cs="Times New Roman"/>
                <w:iCs/>
                <w:sz w:val="20"/>
                <w:szCs w:val="20"/>
              </w:rPr>
              <w:t xml:space="preserve">(March </w:t>
            </w:r>
            <w:r w:rsidRPr="0084121C">
              <w:rPr>
                <w:rFonts w:cs="Times New Roman"/>
                <w:sz w:val="20"/>
                <w:szCs w:val="20"/>
              </w:rPr>
              <w:t xml:space="preserve">10, 2020), </w:t>
            </w:r>
            <w:r w:rsidRPr="0084121C">
              <w:rPr>
                <w:rFonts w:cs="Times New Roman"/>
                <w:i/>
                <w:sz w:val="20"/>
                <w:szCs w:val="20"/>
              </w:rPr>
              <w:t>available</w:t>
            </w:r>
            <w:r w:rsidRPr="0084121C">
              <w:rPr>
                <w:rFonts w:cs="Times New Roman"/>
                <w:sz w:val="20"/>
                <w:szCs w:val="20"/>
              </w:rPr>
              <w:t xml:space="preserve"> at </w:t>
            </w:r>
            <w:hyperlink r:id="rId20" w:history="1">
              <w:r w:rsidRPr="005E43F9">
                <w:rPr>
                  <w:rStyle w:val="Hyperlink"/>
                  <w:rFonts w:cs="Times New Roman"/>
                  <w:sz w:val="20"/>
                  <w:szCs w:val="20"/>
                </w:rPr>
                <w:t>https://sgp.fas.org/crs/misc/R44918.pdf</w:t>
              </w:r>
            </w:hyperlink>
            <w:r>
              <w:rPr>
                <w:rFonts w:cs="Times New Roman"/>
                <w:sz w:val="20"/>
                <w:szCs w:val="20"/>
              </w:rPr>
              <w:t xml:space="preserve"> </w:t>
            </w:r>
            <w:r w:rsidRPr="0084121C">
              <w:rPr>
                <w:rFonts w:cs="Times New Roman"/>
                <w:sz w:val="20"/>
                <w:szCs w:val="20"/>
              </w:rPr>
              <w:t xml:space="preserve">  </w:t>
            </w:r>
          </w:p>
          <w:p w14:paraId="2979BFB4" w14:textId="77777777" w:rsidR="00FF6FB3" w:rsidRDefault="00FF6FB3" w:rsidP="00FF6FB3">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121C">
              <w:rPr>
                <w:rFonts w:cs="Times New Roman"/>
                <w:sz w:val="20"/>
                <w:szCs w:val="20"/>
              </w:rPr>
              <w:t xml:space="preserve">Elizabeth F. Brown, </w:t>
            </w:r>
            <w:r w:rsidRPr="0084121C">
              <w:rPr>
                <w:rFonts w:cs="Times New Roman"/>
                <w:i/>
                <w:iCs/>
                <w:sz w:val="20"/>
                <w:szCs w:val="20"/>
              </w:rPr>
              <w:t>E Pluribus Unum – Out of Many, One: Why the United States Needs a Single Financial Services Agency</w:t>
            </w:r>
            <w:r w:rsidRPr="0084121C">
              <w:rPr>
                <w:rFonts w:cs="Times New Roman"/>
                <w:sz w:val="20"/>
                <w:szCs w:val="20"/>
              </w:rPr>
              <w:t xml:space="preserve">, University of Miami Business Law Review (2005), pp 4-10 and 74-100 </w:t>
            </w:r>
            <w:r w:rsidRPr="0084121C">
              <w:rPr>
                <w:rFonts w:cs="Times New Roman"/>
                <w:i/>
                <w:iCs/>
                <w:sz w:val="20"/>
                <w:szCs w:val="20"/>
              </w:rPr>
              <w:t>available</w:t>
            </w:r>
            <w:r w:rsidRPr="0084121C">
              <w:rPr>
                <w:rFonts w:cs="Times New Roman"/>
                <w:sz w:val="20"/>
                <w:szCs w:val="20"/>
              </w:rPr>
              <w:t xml:space="preserve"> at </w:t>
            </w:r>
            <w:hyperlink r:id="rId21" w:history="1">
              <w:r w:rsidRPr="005E43F9">
                <w:rPr>
                  <w:rStyle w:val="Hyperlink"/>
                  <w:rFonts w:cs="Times New Roman"/>
                  <w:sz w:val="20"/>
                  <w:szCs w:val="20"/>
                </w:rPr>
                <w:t>https://papers.ssrn.com/sol3/papers.cfm?abstract_id=757010</w:t>
              </w:r>
            </w:hyperlink>
            <w:r>
              <w:rPr>
                <w:rFonts w:cs="Times New Roman"/>
                <w:sz w:val="20"/>
                <w:szCs w:val="20"/>
              </w:rPr>
              <w:t xml:space="preserve"> </w:t>
            </w:r>
            <w:r w:rsidRPr="0084121C">
              <w:rPr>
                <w:rFonts w:cs="Times New Roman"/>
                <w:sz w:val="20"/>
                <w:szCs w:val="20"/>
              </w:rPr>
              <w:t xml:space="preserve"> </w:t>
            </w:r>
            <w:r>
              <w:rPr>
                <w:rFonts w:cs="Times New Roman"/>
                <w:sz w:val="20"/>
                <w:szCs w:val="20"/>
              </w:rPr>
              <w:t xml:space="preserve"> </w:t>
            </w:r>
          </w:p>
          <w:p w14:paraId="3EBC1543" w14:textId="77777777" w:rsidR="00FF6FB3" w:rsidRPr="0084121C" w:rsidRDefault="00FF6FB3" w:rsidP="00F303FA">
            <w:pPr>
              <w:pStyle w:val="ListParagraph"/>
              <w:ind w:left="36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4D7E5F" w:rsidRPr="002B4C22" w14:paraId="3F168F55" w14:textId="77777777" w:rsidTr="00F303FA">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1FA3B04F" w14:textId="77777777" w:rsidR="00FF6FB3" w:rsidRPr="0084121C" w:rsidRDefault="00FF6FB3" w:rsidP="00F303FA">
            <w:pPr>
              <w:spacing w:line="276" w:lineRule="auto"/>
              <w:rPr>
                <w:rFonts w:cs="Times New Roman"/>
                <w:b w:val="0"/>
                <w:bCs w:val="0"/>
                <w:sz w:val="20"/>
                <w:szCs w:val="20"/>
              </w:rPr>
            </w:pPr>
            <w:r w:rsidRPr="0084121C">
              <w:rPr>
                <w:rFonts w:cs="Times New Roman"/>
                <w:b w:val="0"/>
                <w:bCs w:val="0"/>
                <w:sz w:val="20"/>
                <w:szCs w:val="20"/>
              </w:rPr>
              <w:t xml:space="preserve">Tuesday, August 13, 2024, 9:30 am-1 pm </w:t>
            </w:r>
          </w:p>
          <w:p w14:paraId="65AF8989" w14:textId="77777777" w:rsidR="00FF6FB3" w:rsidRPr="0084121C" w:rsidRDefault="00FF6FB3" w:rsidP="00F303FA">
            <w:pPr>
              <w:pStyle w:val="ListParagraph"/>
              <w:spacing w:line="276" w:lineRule="auto"/>
              <w:ind w:left="360"/>
              <w:rPr>
                <w:rFonts w:cs="Times New Roman"/>
                <w:b w:val="0"/>
                <w:bCs w:val="0"/>
                <w:sz w:val="20"/>
                <w:szCs w:val="20"/>
              </w:rPr>
            </w:pPr>
          </w:p>
        </w:tc>
        <w:tc>
          <w:tcPr>
            <w:tcW w:w="0" w:type="auto"/>
            <w:vMerge w:val="restart"/>
            <w:shd w:val="clear" w:color="auto" w:fill="auto"/>
          </w:tcPr>
          <w:p w14:paraId="1A3C2783" w14:textId="77777777" w:rsidR="00FF6FB3" w:rsidRPr="0084121C" w:rsidRDefault="00FF6FB3" w:rsidP="00F303FA">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The banking crisis of 2023</w:t>
            </w:r>
            <w:r w:rsidRPr="0084121C">
              <w:rPr>
                <w:rFonts w:cs="Times New Roman"/>
                <w:sz w:val="20"/>
                <w:szCs w:val="20"/>
              </w:rPr>
              <w:t xml:space="preserve">   </w:t>
            </w:r>
          </w:p>
          <w:p w14:paraId="10C47ECC" w14:textId="77777777" w:rsidR="00FF6FB3" w:rsidRPr="0084121C" w:rsidRDefault="00FF6FB3" w:rsidP="00F303FA">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auto"/>
          </w:tcPr>
          <w:p w14:paraId="5D41000B" w14:textId="75E4CC9D" w:rsidR="00FF6FB3" w:rsidRPr="0084121C" w:rsidRDefault="00FF6FB3" w:rsidP="00F303FA">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The banking crisis of 2023 and potential contributory factors  </w:t>
            </w:r>
          </w:p>
          <w:p w14:paraId="21AB9F15" w14:textId="77777777" w:rsidR="00FF6FB3" w:rsidRPr="0084121C" w:rsidRDefault="00FF6FB3" w:rsidP="00F303FA">
            <w:pPr>
              <w:pStyle w:val="ListParagraph"/>
              <w:spacing w:line="276" w:lineRule="auto"/>
              <w:ind w:left="36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auto"/>
          </w:tcPr>
          <w:p w14:paraId="5002B07C" w14:textId="77777777" w:rsidR="00FF6FB3" w:rsidRPr="0084121C" w:rsidRDefault="00FF6FB3" w:rsidP="00FF6FB3">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121C">
              <w:rPr>
                <w:rFonts w:cs="Times New Roman"/>
                <w:sz w:val="20"/>
                <w:szCs w:val="20"/>
              </w:rPr>
              <w:t xml:space="preserve">Huberto M. Ennis, </w:t>
            </w:r>
            <w:r w:rsidRPr="0084121C">
              <w:rPr>
                <w:rFonts w:cs="Times New Roman"/>
                <w:i/>
                <w:iCs/>
                <w:sz w:val="20"/>
                <w:szCs w:val="20"/>
              </w:rPr>
              <w:t>Perspectives on the Banking Turmoil of 2023</w:t>
            </w:r>
            <w:r w:rsidRPr="0084121C">
              <w:rPr>
                <w:rFonts w:cs="Times New Roman"/>
                <w:sz w:val="20"/>
                <w:szCs w:val="20"/>
              </w:rPr>
              <w:t xml:space="preserve">, Economic Brief, Federal Reserve Bank of Richmond (October 2023), </w:t>
            </w:r>
            <w:r w:rsidRPr="0084121C">
              <w:rPr>
                <w:rFonts w:cs="Times New Roman"/>
                <w:i/>
                <w:iCs/>
                <w:sz w:val="20"/>
                <w:szCs w:val="20"/>
              </w:rPr>
              <w:t>available</w:t>
            </w:r>
            <w:r w:rsidRPr="0084121C">
              <w:rPr>
                <w:rFonts w:cs="Times New Roman"/>
                <w:sz w:val="20"/>
                <w:szCs w:val="20"/>
              </w:rPr>
              <w:t xml:space="preserve"> at </w:t>
            </w:r>
            <w:hyperlink r:id="rId22" w:history="1">
              <w:r w:rsidRPr="005E43F9">
                <w:rPr>
                  <w:rStyle w:val="Hyperlink"/>
                  <w:rFonts w:cs="Times New Roman"/>
                  <w:sz w:val="20"/>
                  <w:szCs w:val="20"/>
                </w:rPr>
                <w:t>https://www.richmondfed.org/publications/research/economic_brief/2023/eb_23-35</w:t>
              </w:r>
            </w:hyperlink>
            <w:r>
              <w:rPr>
                <w:rFonts w:cs="Times New Roman"/>
                <w:sz w:val="20"/>
                <w:szCs w:val="20"/>
              </w:rPr>
              <w:t xml:space="preserve"> </w:t>
            </w:r>
            <w:r w:rsidRPr="0084121C">
              <w:rPr>
                <w:rFonts w:cs="Times New Roman"/>
                <w:sz w:val="20"/>
                <w:szCs w:val="20"/>
              </w:rPr>
              <w:t xml:space="preserve"> </w:t>
            </w:r>
          </w:p>
          <w:p w14:paraId="1239664F" w14:textId="77777777" w:rsidR="00FF6FB3" w:rsidRPr="0084121C" w:rsidRDefault="00FF6FB3" w:rsidP="00F303FA">
            <w:pPr>
              <w:pStyle w:val="ListParagraph"/>
              <w:ind w:left="36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4D7E5F" w:rsidRPr="002B4C22" w14:paraId="23676592" w14:textId="77777777" w:rsidTr="00F30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F859747" w14:textId="77777777" w:rsidR="00FF6FB3" w:rsidRPr="0084121C" w:rsidRDefault="00FF6FB3" w:rsidP="00FF6FB3">
            <w:pPr>
              <w:pStyle w:val="ListParagraph"/>
              <w:numPr>
                <w:ilvl w:val="0"/>
                <w:numId w:val="2"/>
              </w:numPr>
              <w:spacing w:line="276" w:lineRule="auto"/>
              <w:rPr>
                <w:rFonts w:cs="Times New Roman"/>
                <w:b w:val="0"/>
                <w:bCs w:val="0"/>
                <w:sz w:val="20"/>
                <w:szCs w:val="20"/>
              </w:rPr>
            </w:pPr>
          </w:p>
        </w:tc>
        <w:tc>
          <w:tcPr>
            <w:tcW w:w="0" w:type="auto"/>
            <w:vMerge/>
            <w:shd w:val="clear" w:color="auto" w:fill="auto"/>
          </w:tcPr>
          <w:p w14:paraId="2309721C" w14:textId="77777777" w:rsidR="00FF6FB3" w:rsidRPr="0084121C" w:rsidRDefault="00FF6FB3" w:rsidP="00F303FA">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auto"/>
          </w:tcPr>
          <w:p w14:paraId="3C6B648E" w14:textId="658A9898" w:rsidR="00FF6FB3" w:rsidRPr="0084121C" w:rsidRDefault="00FF6FB3" w:rsidP="00F303FA">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Immediate governmental responses to the crisis</w:t>
            </w:r>
            <w:r w:rsidRPr="0084121C">
              <w:rPr>
                <w:rFonts w:cs="Times New Roman"/>
                <w:sz w:val="20"/>
                <w:szCs w:val="20"/>
              </w:rPr>
              <w:t xml:space="preserve"> </w:t>
            </w:r>
          </w:p>
          <w:p w14:paraId="7EFD60E4" w14:textId="77777777" w:rsidR="00FF6FB3" w:rsidRPr="0084121C" w:rsidRDefault="00FF6FB3" w:rsidP="00F303FA">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auto"/>
          </w:tcPr>
          <w:p w14:paraId="597B0BB4" w14:textId="77777777" w:rsidR="00FF6FB3" w:rsidRDefault="00FF6FB3" w:rsidP="00FF6FB3">
            <w:pPr>
              <w:pStyle w:val="ListParagraph"/>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140BE3">
              <w:rPr>
                <w:sz w:val="20"/>
                <w:szCs w:val="20"/>
              </w:rPr>
              <w:t xml:space="preserve">Congressional Research Service, </w:t>
            </w:r>
            <w:r w:rsidRPr="00E55331">
              <w:rPr>
                <w:i/>
                <w:iCs/>
                <w:sz w:val="20"/>
                <w:szCs w:val="20"/>
              </w:rPr>
              <w:t>Bank Failures: The FDIC’s Systemic Risk Exception</w:t>
            </w:r>
            <w:r>
              <w:rPr>
                <w:sz w:val="20"/>
                <w:szCs w:val="20"/>
              </w:rPr>
              <w:t xml:space="preserve"> </w:t>
            </w:r>
            <w:r w:rsidRPr="00140BE3">
              <w:rPr>
                <w:sz w:val="20"/>
                <w:szCs w:val="20"/>
              </w:rPr>
              <w:t>(</w:t>
            </w:r>
            <w:r>
              <w:rPr>
                <w:sz w:val="20"/>
                <w:szCs w:val="20"/>
              </w:rPr>
              <w:t>April 23, 2024</w:t>
            </w:r>
            <w:r w:rsidRPr="00140BE3">
              <w:rPr>
                <w:sz w:val="20"/>
                <w:szCs w:val="20"/>
              </w:rPr>
              <w:t xml:space="preserve">), </w:t>
            </w:r>
            <w:r w:rsidRPr="00E55331">
              <w:rPr>
                <w:i/>
                <w:iCs/>
                <w:sz w:val="20"/>
                <w:szCs w:val="20"/>
              </w:rPr>
              <w:t>available</w:t>
            </w:r>
            <w:r w:rsidRPr="00E55331">
              <w:rPr>
                <w:sz w:val="20"/>
                <w:szCs w:val="20"/>
              </w:rPr>
              <w:t xml:space="preserve"> at </w:t>
            </w:r>
            <w:hyperlink r:id="rId23" w:history="1">
              <w:r w:rsidRPr="005E43F9">
                <w:rPr>
                  <w:rStyle w:val="Hyperlink"/>
                  <w:sz w:val="20"/>
                  <w:szCs w:val="20"/>
                </w:rPr>
                <w:t>https://crsreports.congress.gov/product/pdf/IF/IF12378</w:t>
              </w:r>
            </w:hyperlink>
            <w:r>
              <w:rPr>
                <w:sz w:val="20"/>
                <w:szCs w:val="20"/>
              </w:rPr>
              <w:t xml:space="preserve"> </w:t>
            </w:r>
          </w:p>
          <w:p w14:paraId="607CE26A" w14:textId="77777777" w:rsidR="00FF6FB3" w:rsidRPr="00E55331" w:rsidRDefault="00FF6FB3" w:rsidP="00FF6FB3">
            <w:pPr>
              <w:pStyle w:val="ListParagraph"/>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E55331">
              <w:rPr>
                <w:sz w:val="20"/>
                <w:szCs w:val="20"/>
              </w:rPr>
              <w:t xml:space="preserve">Congressional Research Service, </w:t>
            </w:r>
            <w:r w:rsidRPr="00E55331">
              <w:rPr>
                <w:i/>
                <w:iCs/>
                <w:sz w:val="20"/>
                <w:szCs w:val="20"/>
              </w:rPr>
              <w:t>Bank Failures and the FDIC</w:t>
            </w:r>
            <w:r w:rsidRPr="00E55331">
              <w:rPr>
                <w:sz w:val="20"/>
                <w:szCs w:val="20"/>
              </w:rPr>
              <w:t xml:space="preserve"> (</w:t>
            </w:r>
            <w:r>
              <w:rPr>
                <w:sz w:val="20"/>
                <w:szCs w:val="20"/>
              </w:rPr>
              <w:t>March</w:t>
            </w:r>
            <w:r w:rsidRPr="00E55331">
              <w:rPr>
                <w:sz w:val="20"/>
                <w:szCs w:val="20"/>
              </w:rPr>
              <w:t xml:space="preserve"> 23, 202</w:t>
            </w:r>
            <w:r>
              <w:rPr>
                <w:sz w:val="20"/>
                <w:szCs w:val="20"/>
              </w:rPr>
              <w:t>3</w:t>
            </w:r>
            <w:r w:rsidRPr="00E55331">
              <w:rPr>
                <w:sz w:val="20"/>
                <w:szCs w:val="20"/>
              </w:rPr>
              <w:t xml:space="preserve">), </w:t>
            </w:r>
            <w:r w:rsidRPr="00E55331">
              <w:rPr>
                <w:i/>
                <w:iCs/>
                <w:sz w:val="20"/>
                <w:szCs w:val="20"/>
              </w:rPr>
              <w:t>available</w:t>
            </w:r>
            <w:r w:rsidRPr="00E55331">
              <w:rPr>
                <w:sz w:val="20"/>
                <w:szCs w:val="20"/>
              </w:rPr>
              <w:t xml:space="preserve"> at </w:t>
            </w:r>
            <w:hyperlink r:id="rId24" w:history="1">
              <w:r w:rsidRPr="005E43F9">
                <w:rPr>
                  <w:rStyle w:val="Hyperlink"/>
                  <w:sz w:val="20"/>
                  <w:szCs w:val="20"/>
                </w:rPr>
                <w:t>https://crsreports.congress.gov/product/pdf/IF/IF10055</w:t>
              </w:r>
            </w:hyperlink>
            <w:r>
              <w:rPr>
                <w:sz w:val="20"/>
                <w:szCs w:val="20"/>
              </w:rPr>
              <w:t xml:space="preserve"> </w:t>
            </w:r>
          </w:p>
          <w:p w14:paraId="3206D72C" w14:textId="77777777" w:rsidR="00FF6FB3" w:rsidRDefault="00FF6FB3" w:rsidP="00FF6FB3">
            <w:pPr>
              <w:pStyle w:val="ListParagraph"/>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140BE3">
              <w:rPr>
                <w:sz w:val="20"/>
                <w:szCs w:val="20"/>
              </w:rPr>
              <w:t>F</w:t>
            </w:r>
            <w:r>
              <w:rPr>
                <w:sz w:val="20"/>
                <w:szCs w:val="20"/>
              </w:rPr>
              <w:t>ederal Reserve</w:t>
            </w:r>
            <w:r w:rsidRPr="00140BE3">
              <w:rPr>
                <w:sz w:val="20"/>
                <w:szCs w:val="20"/>
              </w:rPr>
              <w:t xml:space="preserve">, </w:t>
            </w:r>
            <w:r w:rsidRPr="00140BE3">
              <w:rPr>
                <w:i/>
                <w:iCs/>
                <w:sz w:val="20"/>
                <w:szCs w:val="20"/>
              </w:rPr>
              <w:t>Federal Reserve Board announces it will make available additional funding to eligible depository institutions to help assure banks have the ability to meet the needs of all their depositors</w:t>
            </w:r>
            <w:r w:rsidRPr="00140BE3">
              <w:rPr>
                <w:sz w:val="20"/>
                <w:szCs w:val="20"/>
              </w:rPr>
              <w:t xml:space="preserve">, Press Release (March 12, 2023), </w:t>
            </w:r>
            <w:r w:rsidRPr="00E55331">
              <w:rPr>
                <w:i/>
                <w:iCs/>
                <w:sz w:val="20"/>
                <w:szCs w:val="20"/>
              </w:rPr>
              <w:t>available</w:t>
            </w:r>
            <w:r w:rsidRPr="00E55331">
              <w:rPr>
                <w:sz w:val="20"/>
                <w:szCs w:val="20"/>
              </w:rPr>
              <w:t xml:space="preserve"> at </w:t>
            </w:r>
            <w:hyperlink r:id="rId25" w:history="1">
              <w:r w:rsidRPr="005E43F9">
                <w:rPr>
                  <w:rStyle w:val="Hyperlink"/>
                  <w:sz w:val="20"/>
                  <w:szCs w:val="20"/>
                </w:rPr>
                <w:t>https://www.federalreserve.gov/newsevents/pressreleases/monetary20230312a.htm</w:t>
              </w:r>
            </w:hyperlink>
          </w:p>
          <w:p w14:paraId="4B798495" w14:textId="77777777" w:rsidR="00FF6FB3" w:rsidRPr="00E55331" w:rsidRDefault="00FF6FB3" w:rsidP="00FF6FB3">
            <w:pPr>
              <w:pStyle w:val="ListParagraph"/>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 xml:space="preserve">Federal Reserve History, </w:t>
            </w:r>
            <w:r w:rsidRPr="00E55331">
              <w:rPr>
                <w:i/>
                <w:iCs/>
                <w:sz w:val="20"/>
                <w:szCs w:val="20"/>
              </w:rPr>
              <w:t>Emergency Lending to Nonbank Borrowers</w:t>
            </w:r>
            <w:r>
              <w:rPr>
                <w:sz w:val="20"/>
                <w:szCs w:val="20"/>
              </w:rPr>
              <w:t xml:space="preserve"> (July 21, 1932), </w:t>
            </w:r>
            <w:r w:rsidRPr="00E55331">
              <w:rPr>
                <w:i/>
                <w:iCs/>
                <w:sz w:val="20"/>
                <w:szCs w:val="20"/>
              </w:rPr>
              <w:t>available</w:t>
            </w:r>
            <w:r w:rsidRPr="00E55331">
              <w:rPr>
                <w:sz w:val="20"/>
                <w:szCs w:val="20"/>
              </w:rPr>
              <w:t xml:space="preserve"> at </w:t>
            </w:r>
            <w:hyperlink r:id="rId26" w:history="1">
              <w:r w:rsidRPr="005E43F9">
                <w:rPr>
                  <w:rStyle w:val="Hyperlink"/>
                  <w:sz w:val="20"/>
                  <w:szCs w:val="20"/>
                </w:rPr>
                <w:t>https://www.federalreservehistory.org/essays/emergency-lending-13-3</w:t>
              </w:r>
            </w:hyperlink>
            <w:r>
              <w:rPr>
                <w:sz w:val="20"/>
                <w:szCs w:val="20"/>
              </w:rPr>
              <w:t xml:space="preserve"> </w:t>
            </w:r>
          </w:p>
          <w:p w14:paraId="0FE01A8E" w14:textId="77777777" w:rsidR="00FF6FB3" w:rsidRPr="00140BE3" w:rsidRDefault="00FF6FB3" w:rsidP="00F303FA">
            <w:pPr>
              <w:pStyle w:val="ListParagraph"/>
              <w:spacing w:line="276" w:lineRule="auto"/>
              <w:ind w:left="36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4D7E5F" w:rsidRPr="002B4C22" w14:paraId="71F48368" w14:textId="77777777" w:rsidTr="00F303FA">
        <w:tc>
          <w:tcPr>
            <w:cnfStyle w:val="001000000000" w:firstRow="0" w:lastRow="0" w:firstColumn="1" w:lastColumn="0" w:oddVBand="0" w:evenVBand="0" w:oddHBand="0" w:evenHBand="0" w:firstRowFirstColumn="0" w:firstRowLastColumn="0" w:lastRowFirstColumn="0" w:lastRowLastColumn="0"/>
            <w:tcW w:w="0" w:type="auto"/>
            <w:vMerge/>
          </w:tcPr>
          <w:p w14:paraId="50B05D6B" w14:textId="77777777" w:rsidR="00FF6FB3" w:rsidRPr="0084121C" w:rsidRDefault="00FF6FB3" w:rsidP="00F303FA">
            <w:pPr>
              <w:pStyle w:val="ListParagraph"/>
              <w:spacing w:line="276" w:lineRule="auto"/>
              <w:ind w:left="360"/>
              <w:rPr>
                <w:rFonts w:cs="Times New Roman"/>
                <w:b w:val="0"/>
                <w:bCs w:val="0"/>
                <w:sz w:val="20"/>
                <w:szCs w:val="20"/>
              </w:rPr>
            </w:pPr>
          </w:p>
        </w:tc>
        <w:tc>
          <w:tcPr>
            <w:tcW w:w="0" w:type="auto"/>
            <w:vMerge/>
            <w:shd w:val="clear" w:color="auto" w:fill="auto"/>
          </w:tcPr>
          <w:p w14:paraId="18FCA15F" w14:textId="77777777" w:rsidR="00FF6FB3" w:rsidRPr="0084121C" w:rsidRDefault="00FF6FB3" w:rsidP="00F303FA">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auto"/>
          </w:tcPr>
          <w:p w14:paraId="1D5E60F2" w14:textId="77777777" w:rsidR="00FF6FB3" w:rsidRDefault="00FF6FB3" w:rsidP="00DD2E2A">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Long-term legal and regulatory implications of the crisis </w:t>
            </w:r>
          </w:p>
          <w:p w14:paraId="37D1A7DD" w14:textId="110CFF46" w:rsidR="00DD2E2A" w:rsidRPr="0084121C" w:rsidRDefault="00DD2E2A" w:rsidP="00DD2E2A">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auto"/>
          </w:tcPr>
          <w:p w14:paraId="01218A2D" w14:textId="77777777" w:rsidR="00FF6FB3" w:rsidRPr="0084121C" w:rsidRDefault="00FF6FB3" w:rsidP="00FF6FB3">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Deloitte, </w:t>
            </w:r>
            <w:r w:rsidRPr="00133EBA">
              <w:rPr>
                <w:rFonts w:cs="Times New Roman"/>
                <w:i/>
                <w:iCs/>
                <w:sz w:val="20"/>
                <w:szCs w:val="20"/>
              </w:rPr>
              <w:t>2024 banking regulatory outlook</w:t>
            </w:r>
            <w:r>
              <w:rPr>
                <w:rFonts w:cs="Times New Roman"/>
                <w:sz w:val="20"/>
                <w:szCs w:val="20"/>
              </w:rPr>
              <w:t xml:space="preserve"> (2024), </w:t>
            </w:r>
            <w:hyperlink r:id="rId27" w:history="1">
              <w:r w:rsidRPr="005E43F9">
                <w:rPr>
                  <w:rStyle w:val="Hyperlink"/>
                  <w:rFonts w:cs="Times New Roman"/>
                  <w:sz w:val="20"/>
                  <w:szCs w:val="20"/>
                </w:rPr>
                <w:t>https://www2.deloitte.com/us/en/pages/regulatory/articles/banking-regulatory-outlook.html</w:t>
              </w:r>
            </w:hyperlink>
            <w:r>
              <w:rPr>
                <w:rFonts w:cs="Times New Roman"/>
                <w:sz w:val="20"/>
                <w:szCs w:val="20"/>
              </w:rPr>
              <w:t xml:space="preserve"> </w:t>
            </w:r>
          </w:p>
          <w:p w14:paraId="7EBE9F5C" w14:textId="77777777" w:rsidR="00FF6FB3" w:rsidRPr="0084121C" w:rsidRDefault="00FF6FB3" w:rsidP="00F303FA">
            <w:pPr>
              <w:pStyle w:val="ListParagraph"/>
              <w:spacing w:line="276" w:lineRule="auto"/>
              <w:ind w:left="36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4D7E5F" w:rsidRPr="002B4C22" w14:paraId="6F56FBB7" w14:textId="77777777" w:rsidTr="00FF6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C62233E" w14:textId="77777777" w:rsidR="00FF6FB3" w:rsidRPr="0084121C" w:rsidRDefault="00FF6FB3" w:rsidP="00FF6FB3">
            <w:pPr>
              <w:spacing w:line="276" w:lineRule="auto"/>
              <w:rPr>
                <w:rFonts w:cs="Times New Roman"/>
                <w:b w:val="0"/>
                <w:bCs w:val="0"/>
                <w:sz w:val="20"/>
                <w:szCs w:val="20"/>
              </w:rPr>
            </w:pPr>
            <w:r w:rsidRPr="0084121C">
              <w:rPr>
                <w:rFonts w:cs="Times New Roman"/>
                <w:b w:val="0"/>
                <w:bCs w:val="0"/>
                <w:sz w:val="20"/>
                <w:szCs w:val="20"/>
              </w:rPr>
              <w:t>Wednesday, August 14, 2024, 9:30 am-1 pm</w:t>
            </w:r>
          </w:p>
          <w:p w14:paraId="6BEEE21B" w14:textId="77777777" w:rsidR="00FF6FB3" w:rsidRPr="0084121C" w:rsidRDefault="00FF6FB3" w:rsidP="00FF6FB3">
            <w:pPr>
              <w:spacing w:line="276" w:lineRule="auto"/>
              <w:rPr>
                <w:rFonts w:cs="Times New Roman"/>
                <w:b w:val="0"/>
                <w:bCs w:val="0"/>
                <w:sz w:val="20"/>
                <w:szCs w:val="20"/>
              </w:rPr>
            </w:pPr>
          </w:p>
        </w:tc>
        <w:tc>
          <w:tcPr>
            <w:tcW w:w="0" w:type="auto"/>
            <w:vMerge w:val="restart"/>
          </w:tcPr>
          <w:p w14:paraId="466504D1" w14:textId="2B0482DC" w:rsidR="00FF6FB3" w:rsidRPr="0084121C" w:rsidRDefault="00FF6FB3" w:rsidP="00FF6FB3">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Cryptoassets </w:t>
            </w:r>
          </w:p>
          <w:p w14:paraId="2C76AC0E" w14:textId="77777777" w:rsidR="00FF6FB3" w:rsidRPr="0084121C" w:rsidRDefault="00FF6FB3" w:rsidP="00FF6FB3">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tcPr>
          <w:p w14:paraId="7F4387D4" w14:textId="3AA9E42A" w:rsidR="00FF6FB3" w:rsidRPr="0084121C" w:rsidRDefault="00FF6FB3" w:rsidP="00DD2E2A">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121C">
              <w:rPr>
                <w:rFonts w:cs="Times New Roman"/>
                <w:sz w:val="20"/>
                <w:szCs w:val="20"/>
              </w:rPr>
              <w:t xml:space="preserve">What are cryptoassets? </w:t>
            </w:r>
          </w:p>
        </w:tc>
        <w:tc>
          <w:tcPr>
            <w:tcW w:w="0" w:type="auto"/>
          </w:tcPr>
          <w:p w14:paraId="732FC5F1" w14:textId="77777777" w:rsidR="00FF6FB3" w:rsidRPr="0084121C" w:rsidRDefault="00FF6FB3" w:rsidP="00FF6FB3">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121C">
              <w:rPr>
                <w:rFonts w:cs="Times New Roman"/>
                <w:sz w:val="20"/>
                <w:szCs w:val="20"/>
              </w:rPr>
              <w:t xml:space="preserve">Bank of England, </w:t>
            </w:r>
            <w:r w:rsidRPr="0084121C">
              <w:rPr>
                <w:rFonts w:cs="Times New Roman"/>
                <w:i/>
                <w:iCs/>
                <w:sz w:val="20"/>
                <w:szCs w:val="20"/>
              </w:rPr>
              <w:t xml:space="preserve">What are Cryptoassets (Cryptocurrencies)? </w:t>
            </w:r>
            <w:r w:rsidRPr="0084121C">
              <w:rPr>
                <w:rFonts w:cs="Times New Roman"/>
                <w:sz w:val="20"/>
                <w:szCs w:val="20"/>
              </w:rPr>
              <w:t xml:space="preserve">(2022), </w:t>
            </w:r>
            <w:r w:rsidRPr="0084121C">
              <w:rPr>
                <w:rFonts w:cs="Times New Roman"/>
                <w:i/>
                <w:iCs/>
                <w:sz w:val="20"/>
                <w:szCs w:val="20"/>
              </w:rPr>
              <w:t>available</w:t>
            </w:r>
            <w:r w:rsidRPr="0084121C">
              <w:rPr>
                <w:rFonts w:cs="Times New Roman"/>
                <w:sz w:val="20"/>
                <w:szCs w:val="20"/>
              </w:rPr>
              <w:t xml:space="preserve"> at </w:t>
            </w:r>
            <w:hyperlink r:id="rId28" w:history="1">
              <w:r w:rsidRPr="005E43F9">
                <w:rPr>
                  <w:rStyle w:val="Hyperlink"/>
                  <w:rFonts w:cs="Times New Roman"/>
                  <w:sz w:val="20"/>
                  <w:szCs w:val="20"/>
                </w:rPr>
                <w:t>https://www.bankofengland.co.uk/knowledgebank/what-are-cryptocurrencies</w:t>
              </w:r>
            </w:hyperlink>
            <w:r>
              <w:rPr>
                <w:rFonts w:cs="Times New Roman"/>
                <w:sz w:val="20"/>
                <w:szCs w:val="20"/>
              </w:rPr>
              <w:t xml:space="preserve"> </w:t>
            </w:r>
            <w:r w:rsidRPr="0084121C">
              <w:rPr>
                <w:rFonts w:cs="Times New Roman"/>
                <w:sz w:val="20"/>
                <w:szCs w:val="20"/>
              </w:rPr>
              <w:t xml:space="preserve">  </w:t>
            </w:r>
          </w:p>
          <w:p w14:paraId="0AC9A8EA" w14:textId="77777777" w:rsidR="00FF6FB3" w:rsidRPr="0084121C" w:rsidRDefault="00FF6FB3" w:rsidP="00FF6FB3">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121C">
              <w:rPr>
                <w:rFonts w:cs="Times New Roman"/>
                <w:sz w:val="20"/>
                <w:szCs w:val="20"/>
              </w:rPr>
              <w:t xml:space="preserve">Kiana Danial, </w:t>
            </w:r>
            <w:r w:rsidRPr="0084121C">
              <w:rPr>
                <w:rFonts w:cs="Times New Roman"/>
                <w:i/>
                <w:iCs/>
                <w:sz w:val="20"/>
                <w:szCs w:val="20"/>
              </w:rPr>
              <w:t>What Is Cryptocurrency?</w:t>
            </w:r>
            <w:r w:rsidRPr="0084121C">
              <w:rPr>
                <w:rFonts w:cs="Times New Roman"/>
                <w:sz w:val="20"/>
                <w:szCs w:val="20"/>
              </w:rPr>
              <w:t xml:space="preserve"> (December 14, 2022), </w:t>
            </w:r>
            <w:r w:rsidRPr="0084121C">
              <w:rPr>
                <w:rFonts w:cs="Times New Roman"/>
                <w:i/>
                <w:iCs/>
                <w:sz w:val="20"/>
                <w:szCs w:val="20"/>
              </w:rPr>
              <w:t>available</w:t>
            </w:r>
            <w:r w:rsidRPr="0084121C">
              <w:rPr>
                <w:rFonts w:cs="Times New Roman"/>
                <w:sz w:val="20"/>
                <w:szCs w:val="20"/>
              </w:rPr>
              <w:t xml:space="preserve"> at </w:t>
            </w:r>
            <w:hyperlink r:id="rId29" w:history="1">
              <w:r w:rsidRPr="005E43F9">
                <w:rPr>
                  <w:rStyle w:val="Hyperlink"/>
                  <w:rFonts w:cs="Times New Roman"/>
                  <w:sz w:val="20"/>
                  <w:szCs w:val="20"/>
                </w:rPr>
                <w:t>https://www.dummies.com/article/business-careers-money/personal-finance/cryptocurrency/what-is-cryptocurrency-237561/</w:t>
              </w:r>
            </w:hyperlink>
            <w:r>
              <w:rPr>
                <w:rFonts w:cs="Times New Roman"/>
                <w:sz w:val="20"/>
                <w:szCs w:val="20"/>
              </w:rPr>
              <w:t xml:space="preserve"> </w:t>
            </w:r>
            <w:r w:rsidRPr="0084121C">
              <w:rPr>
                <w:rFonts w:cs="Times New Roman"/>
                <w:sz w:val="20"/>
                <w:szCs w:val="20"/>
              </w:rPr>
              <w:t xml:space="preserve"> </w:t>
            </w:r>
          </w:p>
          <w:p w14:paraId="7561BDF2" w14:textId="77777777" w:rsidR="00FF6FB3" w:rsidRPr="0084121C" w:rsidRDefault="00FF6FB3" w:rsidP="00FF6FB3">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121C">
              <w:rPr>
                <w:rFonts w:cs="Times New Roman"/>
                <w:sz w:val="20"/>
                <w:szCs w:val="20"/>
              </w:rPr>
              <w:t xml:space="preserve">Robby Houben and Alexander </w:t>
            </w:r>
            <w:proofErr w:type="spellStart"/>
            <w:r w:rsidRPr="0084121C">
              <w:rPr>
                <w:rFonts w:cs="Times New Roman"/>
                <w:sz w:val="20"/>
                <w:szCs w:val="20"/>
              </w:rPr>
              <w:t>Snyers</w:t>
            </w:r>
            <w:proofErr w:type="spellEnd"/>
            <w:r w:rsidRPr="0084121C">
              <w:rPr>
                <w:rFonts w:cs="Times New Roman"/>
                <w:sz w:val="20"/>
                <w:szCs w:val="20"/>
              </w:rPr>
              <w:t xml:space="preserve">, </w:t>
            </w:r>
            <w:r w:rsidRPr="0084121C">
              <w:rPr>
                <w:rFonts w:cs="Times New Roman"/>
                <w:i/>
                <w:iCs/>
                <w:sz w:val="20"/>
                <w:szCs w:val="20"/>
              </w:rPr>
              <w:t>Crypto-Assets: Key Developments, Regulatory Concerns, and Responses</w:t>
            </w:r>
            <w:r w:rsidRPr="0084121C">
              <w:rPr>
                <w:rFonts w:cs="Times New Roman"/>
                <w:sz w:val="20"/>
                <w:szCs w:val="20"/>
              </w:rPr>
              <w:t xml:space="preserve">, Policy Department for Economic, Scientific and Quality of Life Policies, European Parliament (April 2020), pp 1-41, </w:t>
            </w:r>
            <w:r w:rsidRPr="0084121C">
              <w:rPr>
                <w:rFonts w:cs="Times New Roman"/>
                <w:i/>
                <w:iCs/>
                <w:sz w:val="20"/>
                <w:szCs w:val="20"/>
              </w:rPr>
              <w:t>available</w:t>
            </w:r>
            <w:r w:rsidRPr="0084121C">
              <w:rPr>
                <w:rFonts w:cs="Times New Roman"/>
                <w:sz w:val="20"/>
                <w:szCs w:val="20"/>
              </w:rPr>
              <w:t xml:space="preserve"> at </w:t>
            </w:r>
            <w:hyperlink r:id="rId30" w:history="1">
              <w:r w:rsidRPr="005E43F9">
                <w:rPr>
                  <w:rStyle w:val="Hyperlink"/>
                  <w:rFonts w:cs="Times New Roman"/>
                  <w:sz w:val="20"/>
                  <w:szCs w:val="20"/>
                </w:rPr>
                <w:t>https://amlbot.com/wp-content/uploads/2020/05/IPOL_STU2020648779_EN.pdf</w:t>
              </w:r>
            </w:hyperlink>
            <w:r>
              <w:rPr>
                <w:rFonts w:cs="Times New Roman"/>
                <w:sz w:val="20"/>
                <w:szCs w:val="20"/>
              </w:rPr>
              <w:t xml:space="preserve"> </w:t>
            </w:r>
            <w:r w:rsidRPr="0084121C">
              <w:rPr>
                <w:rFonts w:cs="Times New Roman"/>
                <w:sz w:val="20"/>
                <w:szCs w:val="20"/>
              </w:rPr>
              <w:t xml:space="preserve"> </w:t>
            </w:r>
          </w:p>
          <w:p w14:paraId="613CAA1D" w14:textId="77777777" w:rsidR="00FF6FB3" w:rsidRPr="0084121C" w:rsidRDefault="00FF6FB3" w:rsidP="00FF6FB3">
            <w:pPr>
              <w:pStyle w:val="ListParagraph"/>
              <w:spacing w:line="276" w:lineRule="auto"/>
              <w:ind w:left="36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4D7E5F" w:rsidRPr="002B4C22" w14:paraId="5430837F" w14:textId="77777777" w:rsidTr="00FF6FB3">
        <w:tc>
          <w:tcPr>
            <w:cnfStyle w:val="001000000000" w:firstRow="0" w:lastRow="0" w:firstColumn="1" w:lastColumn="0" w:oddVBand="0" w:evenVBand="0" w:oddHBand="0" w:evenHBand="0" w:firstRowFirstColumn="0" w:firstRowLastColumn="0" w:lastRowFirstColumn="0" w:lastRowLastColumn="0"/>
            <w:tcW w:w="0" w:type="auto"/>
            <w:vMerge/>
          </w:tcPr>
          <w:p w14:paraId="77038BDF" w14:textId="77777777" w:rsidR="00FF6FB3" w:rsidRPr="0084121C" w:rsidRDefault="00FF6FB3" w:rsidP="00FF6FB3">
            <w:pPr>
              <w:pStyle w:val="ListParagraph"/>
              <w:numPr>
                <w:ilvl w:val="0"/>
                <w:numId w:val="2"/>
              </w:numPr>
              <w:spacing w:line="276" w:lineRule="auto"/>
              <w:rPr>
                <w:rFonts w:cs="Times New Roman"/>
                <w:b w:val="0"/>
                <w:bCs w:val="0"/>
                <w:sz w:val="20"/>
                <w:szCs w:val="20"/>
              </w:rPr>
            </w:pPr>
          </w:p>
        </w:tc>
        <w:tc>
          <w:tcPr>
            <w:tcW w:w="0" w:type="auto"/>
            <w:vMerge/>
            <w:shd w:val="clear" w:color="auto" w:fill="E2EFD9" w:themeFill="accent6" w:themeFillTint="33"/>
          </w:tcPr>
          <w:p w14:paraId="5E19D588" w14:textId="77777777" w:rsidR="00FF6FB3" w:rsidRPr="0084121C" w:rsidRDefault="00FF6FB3" w:rsidP="00FF6FB3">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E2EFD9" w:themeFill="accent6" w:themeFillTint="33"/>
          </w:tcPr>
          <w:p w14:paraId="3BC0C8EE" w14:textId="22A300E4" w:rsidR="00FF6FB3" w:rsidRPr="0084121C" w:rsidRDefault="00FF6FB3" w:rsidP="00FF6FB3">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121C">
              <w:rPr>
                <w:rFonts w:cs="Times New Roman"/>
                <w:sz w:val="20"/>
                <w:szCs w:val="20"/>
              </w:rPr>
              <w:t>The regulation of cryptoassets</w:t>
            </w:r>
            <w:r>
              <w:rPr>
                <w:rFonts w:cs="Times New Roman"/>
                <w:sz w:val="20"/>
                <w:szCs w:val="20"/>
              </w:rPr>
              <w:t xml:space="preserve"> </w:t>
            </w:r>
          </w:p>
          <w:p w14:paraId="4839C31B" w14:textId="77777777" w:rsidR="00FF6FB3" w:rsidRPr="0084121C" w:rsidRDefault="00FF6FB3" w:rsidP="00FF6FB3">
            <w:pPr>
              <w:pStyle w:val="ListParagraph"/>
              <w:spacing w:line="276" w:lineRule="auto"/>
              <w:ind w:left="36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E2EFD9" w:themeFill="accent6" w:themeFillTint="33"/>
          </w:tcPr>
          <w:p w14:paraId="6DE92C5F" w14:textId="77777777" w:rsidR="00FF6FB3" w:rsidRPr="00116994" w:rsidRDefault="00FF6FB3" w:rsidP="00FF6FB3">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Practical Law Finance, </w:t>
            </w:r>
            <w:r w:rsidRPr="00133EBA">
              <w:rPr>
                <w:rFonts w:cs="Times New Roman"/>
                <w:i/>
                <w:iCs/>
                <w:sz w:val="20"/>
                <w:szCs w:val="20"/>
              </w:rPr>
              <w:t>Overview: Regulation of Cryptocurrency and Digital Assets in USA</w:t>
            </w:r>
            <w:r>
              <w:rPr>
                <w:rFonts w:cs="Times New Roman"/>
                <w:sz w:val="20"/>
                <w:szCs w:val="20"/>
              </w:rPr>
              <w:t xml:space="preserve"> (2024), </w:t>
            </w:r>
            <w:r w:rsidRPr="00133EBA">
              <w:rPr>
                <w:rFonts w:cs="Times New Roman"/>
                <w:i/>
                <w:iCs/>
                <w:sz w:val="20"/>
                <w:szCs w:val="20"/>
              </w:rPr>
              <w:t>available</w:t>
            </w:r>
            <w:r>
              <w:rPr>
                <w:rFonts w:cs="Times New Roman"/>
                <w:sz w:val="20"/>
                <w:szCs w:val="20"/>
              </w:rPr>
              <w:t xml:space="preserve"> at </w:t>
            </w:r>
            <w:hyperlink r:id="rId31" w:history="1">
              <w:r w:rsidRPr="005E43F9">
                <w:rPr>
                  <w:rStyle w:val="Hyperlink"/>
                  <w:rFonts w:cs="Times New Roman"/>
                  <w:sz w:val="20"/>
                  <w:szCs w:val="20"/>
                </w:rPr>
                <w:t>https://us.practicallaw.thomsonreuters.com/w-043-0077?transitionType=Default&amp;contextData=(sc.Default)&amp;VR=3.0&amp;RS=cblt1.0</w:t>
              </w:r>
            </w:hyperlink>
            <w:r>
              <w:rPr>
                <w:rFonts w:cs="Times New Roman"/>
                <w:sz w:val="20"/>
                <w:szCs w:val="20"/>
              </w:rPr>
              <w:t xml:space="preserve"> </w:t>
            </w:r>
          </w:p>
          <w:p w14:paraId="6BD7E31B" w14:textId="77777777" w:rsidR="00FF6FB3" w:rsidRPr="0084121C" w:rsidRDefault="00FF6FB3" w:rsidP="00FF6FB3">
            <w:pPr>
              <w:pStyle w:val="ListParagraph"/>
              <w:spacing w:line="276" w:lineRule="auto"/>
              <w:ind w:left="36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4D7E5F" w:rsidRPr="002B4C22" w14:paraId="2A4CC75A" w14:textId="77777777" w:rsidTr="00F30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4318AF5" w14:textId="77777777" w:rsidR="00FF6FB3" w:rsidRPr="0084121C" w:rsidRDefault="00FF6FB3" w:rsidP="00FF6FB3">
            <w:pPr>
              <w:pStyle w:val="ListParagraph"/>
              <w:numPr>
                <w:ilvl w:val="0"/>
                <w:numId w:val="2"/>
              </w:numPr>
              <w:spacing w:line="276" w:lineRule="auto"/>
              <w:rPr>
                <w:rFonts w:cs="Times New Roman"/>
                <w:b w:val="0"/>
                <w:bCs w:val="0"/>
                <w:sz w:val="20"/>
                <w:szCs w:val="20"/>
              </w:rPr>
            </w:pPr>
          </w:p>
        </w:tc>
        <w:tc>
          <w:tcPr>
            <w:tcW w:w="0" w:type="auto"/>
            <w:vMerge/>
          </w:tcPr>
          <w:p w14:paraId="5BACC174" w14:textId="77777777" w:rsidR="00FF6FB3" w:rsidRPr="0084121C" w:rsidRDefault="00FF6FB3" w:rsidP="00F303FA">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tcPr>
          <w:p w14:paraId="0D8660ED" w14:textId="7CF39B21" w:rsidR="00FF6FB3" w:rsidRPr="006D3017" w:rsidRDefault="00FF6FB3" w:rsidP="00F303FA">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D2E2A">
              <w:rPr>
                <w:rFonts w:cs="Times New Roman"/>
                <w:i/>
                <w:iCs/>
                <w:sz w:val="20"/>
                <w:szCs w:val="20"/>
              </w:rPr>
              <w:t>CFPB v. Community Financial Services Assn. of America, Ltd</w:t>
            </w:r>
            <w:r w:rsidRPr="006D3017">
              <w:rPr>
                <w:rFonts w:cs="Times New Roman"/>
                <w:sz w:val="20"/>
                <w:szCs w:val="20"/>
              </w:rPr>
              <w:t>.</w:t>
            </w:r>
          </w:p>
          <w:p w14:paraId="77411925" w14:textId="77777777" w:rsidR="00FF6FB3" w:rsidRPr="0084121C" w:rsidRDefault="00FF6FB3" w:rsidP="00F303FA">
            <w:pPr>
              <w:pStyle w:val="ListParagraph"/>
              <w:spacing w:line="276" w:lineRule="auto"/>
              <w:ind w:left="36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tcPr>
          <w:p w14:paraId="176E915C" w14:textId="080B9377" w:rsidR="00FF6FB3" w:rsidRPr="009D0193" w:rsidRDefault="00DD2E2A" w:rsidP="00FF6FB3">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Pr>
                <w:rFonts w:cs="Times New Roman"/>
                <w:i/>
                <w:iCs/>
                <w:sz w:val="20"/>
                <w:szCs w:val="20"/>
              </w:rPr>
              <w:t>CFPB</w:t>
            </w:r>
            <w:r w:rsidR="00FF6FB3">
              <w:rPr>
                <w:rFonts w:cs="Times New Roman"/>
                <w:i/>
                <w:iCs/>
                <w:sz w:val="20"/>
                <w:szCs w:val="20"/>
              </w:rPr>
              <w:t xml:space="preserve"> </w:t>
            </w:r>
            <w:r w:rsidR="00FF6FB3" w:rsidRPr="009D0193">
              <w:rPr>
                <w:rFonts w:cs="Times New Roman"/>
                <w:i/>
                <w:iCs/>
                <w:sz w:val="20"/>
                <w:szCs w:val="20"/>
              </w:rPr>
              <w:t xml:space="preserve">v. Community Financial Services </w:t>
            </w:r>
            <w:r w:rsidR="00FF6FB3">
              <w:rPr>
                <w:rFonts w:cs="Times New Roman"/>
                <w:i/>
                <w:iCs/>
                <w:sz w:val="20"/>
                <w:szCs w:val="20"/>
              </w:rPr>
              <w:t>Assn.</w:t>
            </w:r>
            <w:r w:rsidR="00FF6FB3" w:rsidRPr="009D0193">
              <w:rPr>
                <w:rFonts w:cs="Times New Roman"/>
                <w:i/>
                <w:iCs/>
                <w:sz w:val="20"/>
                <w:szCs w:val="20"/>
              </w:rPr>
              <w:t xml:space="preserve"> of America, </w:t>
            </w:r>
            <w:r w:rsidR="00FF6FB3">
              <w:rPr>
                <w:rFonts w:cs="Times New Roman"/>
                <w:i/>
                <w:iCs/>
                <w:sz w:val="20"/>
                <w:szCs w:val="20"/>
              </w:rPr>
              <w:t>Ltd.</w:t>
            </w:r>
            <w:r w:rsidR="00FF6FB3">
              <w:rPr>
                <w:rFonts w:cs="Times New Roman"/>
                <w:sz w:val="20"/>
                <w:szCs w:val="20"/>
              </w:rPr>
              <w:t>,</w:t>
            </w:r>
            <w:r w:rsidR="00FF6FB3">
              <w:t xml:space="preserve"> </w:t>
            </w:r>
            <w:r w:rsidR="00FF6FB3">
              <w:rPr>
                <w:rFonts w:cs="Times New Roman"/>
                <w:sz w:val="20"/>
                <w:szCs w:val="20"/>
              </w:rPr>
              <w:t>601</w:t>
            </w:r>
            <w:r w:rsidR="00FF6FB3" w:rsidRPr="009D0193">
              <w:rPr>
                <w:rFonts w:cs="Times New Roman"/>
                <w:sz w:val="20"/>
                <w:szCs w:val="20"/>
              </w:rPr>
              <w:t xml:space="preserve"> U.S. </w:t>
            </w:r>
            <w:r w:rsidR="00FF6FB3">
              <w:rPr>
                <w:rFonts w:cs="Times New Roman"/>
                <w:sz w:val="20"/>
                <w:szCs w:val="20"/>
              </w:rPr>
              <w:t>1</w:t>
            </w:r>
            <w:r w:rsidR="00FF6FB3" w:rsidRPr="009D0193">
              <w:rPr>
                <w:rFonts w:cs="Times New Roman"/>
                <w:sz w:val="20"/>
                <w:szCs w:val="20"/>
              </w:rPr>
              <w:t xml:space="preserve"> (</w:t>
            </w:r>
            <w:r w:rsidR="00FF6FB3">
              <w:rPr>
                <w:rFonts w:cs="Times New Roman"/>
                <w:sz w:val="20"/>
                <w:szCs w:val="20"/>
              </w:rPr>
              <w:t>2024</w:t>
            </w:r>
            <w:r w:rsidR="00FF6FB3" w:rsidRPr="009D0193">
              <w:rPr>
                <w:rFonts w:cs="Times New Roman"/>
                <w:sz w:val="20"/>
                <w:szCs w:val="20"/>
              </w:rPr>
              <w:t>)</w:t>
            </w:r>
            <w:r w:rsidR="00FF6FB3">
              <w:rPr>
                <w:rFonts w:cs="Times New Roman"/>
                <w:sz w:val="20"/>
                <w:szCs w:val="20"/>
              </w:rPr>
              <w:t xml:space="preserve">, </w:t>
            </w:r>
            <w:r w:rsidR="00FF6FB3" w:rsidRPr="00EB5942">
              <w:rPr>
                <w:rFonts w:cs="Times New Roman"/>
                <w:i/>
                <w:iCs/>
                <w:sz w:val="20"/>
                <w:szCs w:val="20"/>
              </w:rPr>
              <w:t>available</w:t>
            </w:r>
            <w:r w:rsidR="00FF6FB3">
              <w:rPr>
                <w:rFonts w:cs="Times New Roman"/>
                <w:sz w:val="20"/>
                <w:szCs w:val="20"/>
              </w:rPr>
              <w:t xml:space="preserve"> at </w:t>
            </w:r>
            <w:hyperlink r:id="rId32" w:history="1">
              <w:r w:rsidR="00FF6FB3" w:rsidRPr="005E43F9">
                <w:rPr>
                  <w:rStyle w:val="Hyperlink"/>
                  <w:rFonts w:cs="Times New Roman"/>
                  <w:sz w:val="20"/>
                  <w:szCs w:val="20"/>
                </w:rPr>
                <w:t>https://www.supremecourt.gov/opinions/23pdf/22-448_o7jp.pdf</w:t>
              </w:r>
            </w:hyperlink>
            <w:r w:rsidR="00FF6FB3">
              <w:rPr>
                <w:rFonts w:cs="Times New Roman"/>
                <w:sz w:val="20"/>
                <w:szCs w:val="20"/>
              </w:rPr>
              <w:t xml:space="preserve">   </w:t>
            </w:r>
          </w:p>
          <w:p w14:paraId="07CB4613" w14:textId="77777777" w:rsidR="00FF6FB3" w:rsidRPr="0084121C" w:rsidRDefault="00FF6FB3" w:rsidP="00FF6FB3">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Sullivan and Cromwell, </w:t>
            </w:r>
            <w:r w:rsidRPr="009D0193">
              <w:rPr>
                <w:rFonts w:cs="Times New Roman"/>
                <w:i/>
                <w:iCs/>
                <w:sz w:val="20"/>
                <w:szCs w:val="20"/>
              </w:rPr>
              <w:t>U.S. Supreme Court Upholds CFPB Funding Mechanism as Constitutional</w:t>
            </w:r>
            <w:r>
              <w:rPr>
                <w:rFonts w:cs="Times New Roman"/>
                <w:sz w:val="20"/>
                <w:szCs w:val="20"/>
              </w:rPr>
              <w:t xml:space="preserve"> (May 16, 2024), </w:t>
            </w:r>
            <w:r w:rsidRPr="00EB5942">
              <w:rPr>
                <w:rFonts w:cs="Times New Roman"/>
                <w:i/>
                <w:iCs/>
                <w:sz w:val="20"/>
                <w:szCs w:val="20"/>
              </w:rPr>
              <w:t>available</w:t>
            </w:r>
            <w:r>
              <w:rPr>
                <w:rFonts w:cs="Times New Roman"/>
                <w:sz w:val="20"/>
                <w:szCs w:val="20"/>
              </w:rPr>
              <w:t xml:space="preserve"> at </w:t>
            </w:r>
            <w:hyperlink r:id="rId33" w:history="1">
              <w:r w:rsidRPr="005E43F9">
                <w:rPr>
                  <w:rStyle w:val="Hyperlink"/>
                  <w:rFonts w:cs="Times New Roman"/>
                  <w:sz w:val="20"/>
                  <w:szCs w:val="20"/>
                </w:rPr>
                <w:t>https://www.sullcrom.com/SullivanCromwell/_Assets/PDFs/Memos/Supreme-Court-Holds-CFPB-Funding-Constitutional.pdf</w:t>
              </w:r>
            </w:hyperlink>
            <w:r>
              <w:rPr>
                <w:rFonts w:cs="Times New Roman"/>
                <w:sz w:val="20"/>
                <w:szCs w:val="20"/>
              </w:rPr>
              <w:t xml:space="preserve">  </w:t>
            </w:r>
          </w:p>
          <w:p w14:paraId="1C4BFD9A" w14:textId="77777777" w:rsidR="00FF6FB3" w:rsidRPr="0084121C" w:rsidRDefault="00FF6FB3" w:rsidP="00F303FA">
            <w:pPr>
              <w:pStyle w:val="ListParagraph"/>
              <w:spacing w:line="276" w:lineRule="auto"/>
              <w:ind w:left="36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4D7E5F" w:rsidRPr="002B4C22" w14:paraId="34F25A67" w14:textId="77777777" w:rsidTr="00FF6FB3">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tcPr>
          <w:p w14:paraId="5E888955" w14:textId="77777777" w:rsidR="00FF6FB3" w:rsidRPr="0084121C" w:rsidRDefault="00FF6FB3" w:rsidP="00FF6FB3">
            <w:pPr>
              <w:spacing w:line="276" w:lineRule="auto"/>
              <w:rPr>
                <w:rFonts w:cs="Times New Roman"/>
                <w:b w:val="0"/>
                <w:bCs w:val="0"/>
                <w:sz w:val="20"/>
                <w:szCs w:val="20"/>
              </w:rPr>
            </w:pPr>
            <w:r w:rsidRPr="0084121C">
              <w:rPr>
                <w:rFonts w:cs="Times New Roman"/>
                <w:b w:val="0"/>
                <w:bCs w:val="0"/>
                <w:sz w:val="20"/>
                <w:szCs w:val="20"/>
              </w:rPr>
              <w:t>Thursday, August 15, 2024, 9:30 am-1 pm</w:t>
            </w:r>
          </w:p>
          <w:p w14:paraId="37096037" w14:textId="77777777" w:rsidR="00FF6FB3" w:rsidRPr="0084121C" w:rsidRDefault="00FF6FB3" w:rsidP="00FF6FB3">
            <w:pPr>
              <w:pStyle w:val="ListParagraph"/>
              <w:spacing w:line="276" w:lineRule="auto"/>
              <w:ind w:left="360"/>
              <w:rPr>
                <w:rFonts w:cs="Times New Roman"/>
                <w:b w:val="0"/>
                <w:bCs w:val="0"/>
                <w:sz w:val="20"/>
                <w:szCs w:val="20"/>
              </w:rPr>
            </w:pPr>
          </w:p>
        </w:tc>
        <w:tc>
          <w:tcPr>
            <w:tcW w:w="0" w:type="auto"/>
            <w:vMerge w:val="restart"/>
            <w:shd w:val="clear" w:color="auto" w:fill="FFFFFF" w:themeFill="background1"/>
          </w:tcPr>
          <w:p w14:paraId="53AD39C8" w14:textId="147B4610" w:rsidR="00FF6FB3" w:rsidRPr="0084121C" w:rsidRDefault="00FF6FB3" w:rsidP="00FF6FB3">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6FB3">
              <w:rPr>
                <w:rFonts w:cs="Times New Roman"/>
                <w:sz w:val="20"/>
                <w:szCs w:val="20"/>
              </w:rPr>
              <w:lastRenderedPageBreak/>
              <w:t xml:space="preserve">The CFPB’s recent efforts to promote consumer </w:t>
            </w:r>
            <w:r w:rsidRPr="00FF6FB3">
              <w:rPr>
                <w:rFonts w:cs="Times New Roman"/>
                <w:sz w:val="20"/>
                <w:szCs w:val="20"/>
              </w:rPr>
              <w:lastRenderedPageBreak/>
              <w:t xml:space="preserve">protection and legal challenges </w:t>
            </w:r>
          </w:p>
        </w:tc>
        <w:tc>
          <w:tcPr>
            <w:tcW w:w="0" w:type="auto"/>
            <w:shd w:val="clear" w:color="auto" w:fill="FFFFFF" w:themeFill="background1"/>
          </w:tcPr>
          <w:p w14:paraId="68C4A2FC" w14:textId="3F24E01F" w:rsidR="00FF6FB3" w:rsidRPr="0084121C" w:rsidRDefault="00FF6FB3" w:rsidP="00FF6FB3">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121C">
              <w:rPr>
                <w:rFonts w:cs="Times New Roman"/>
                <w:sz w:val="20"/>
                <w:szCs w:val="20"/>
              </w:rPr>
              <w:lastRenderedPageBreak/>
              <w:t xml:space="preserve">The history, structure, and powers of the CFPB </w:t>
            </w:r>
          </w:p>
          <w:p w14:paraId="739491ED" w14:textId="77777777" w:rsidR="00FF6FB3" w:rsidRPr="0084121C" w:rsidRDefault="00FF6FB3" w:rsidP="00FF6FB3">
            <w:pPr>
              <w:pStyle w:val="ListParagraph"/>
              <w:spacing w:line="276" w:lineRule="auto"/>
              <w:ind w:left="108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FFFFFF" w:themeFill="background1"/>
          </w:tcPr>
          <w:p w14:paraId="4B63136F" w14:textId="77777777" w:rsidR="00E40FF0" w:rsidRDefault="00FF6FB3" w:rsidP="00E40FF0">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121C">
              <w:rPr>
                <w:rFonts w:cs="Times New Roman"/>
                <w:sz w:val="20"/>
                <w:szCs w:val="20"/>
              </w:rPr>
              <w:lastRenderedPageBreak/>
              <w:t xml:space="preserve">Adam J. Levitin, </w:t>
            </w:r>
            <w:r w:rsidRPr="0084121C">
              <w:rPr>
                <w:rFonts w:cs="Times New Roman"/>
                <w:i/>
                <w:sz w:val="20"/>
                <w:szCs w:val="20"/>
              </w:rPr>
              <w:t>The Consumer Financial Protection Bureau: An Introduction</w:t>
            </w:r>
            <w:r w:rsidRPr="0084121C">
              <w:rPr>
                <w:rFonts w:cs="Times New Roman"/>
                <w:sz w:val="20"/>
                <w:szCs w:val="20"/>
              </w:rPr>
              <w:t xml:space="preserve">, Review of Banking and Financial Law, Volume 32 (2013), </w:t>
            </w:r>
            <w:r w:rsidRPr="0084121C">
              <w:rPr>
                <w:rFonts w:cs="Times New Roman"/>
                <w:i/>
                <w:sz w:val="20"/>
                <w:szCs w:val="20"/>
              </w:rPr>
              <w:t>available</w:t>
            </w:r>
            <w:r w:rsidRPr="0084121C">
              <w:rPr>
                <w:rFonts w:cs="Times New Roman"/>
                <w:sz w:val="20"/>
                <w:szCs w:val="20"/>
              </w:rPr>
              <w:t xml:space="preserve"> at </w:t>
            </w:r>
            <w:hyperlink r:id="rId34" w:history="1">
              <w:r w:rsidRPr="005E43F9">
                <w:rPr>
                  <w:rStyle w:val="Hyperlink"/>
                  <w:rFonts w:cs="Times New Roman"/>
                  <w:sz w:val="20"/>
                  <w:szCs w:val="20"/>
                </w:rPr>
                <w:t>http://www.bu.edu/rbfl/files/2013/10/Levitin.pdf</w:t>
              </w:r>
            </w:hyperlink>
            <w:r>
              <w:rPr>
                <w:rFonts w:cs="Times New Roman"/>
                <w:sz w:val="20"/>
                <w:szCs w:val="20"/>
              </w:rPr>
              <w:t xml:space="preserve"> </w:t>
            </w:r>
          </w:p>
          <w:p w14:paraId="4C737B02" w14:textId="4CCF6503" w:rsidR="00FF6FB3" w:rsidRDefault="00FF6FB3" w:rsidP="00E40FF0">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40FF0">
              <w:rPr>
                <w:rFonts w:cs="Times New Roman"/>
                <w:sz w:val="20"/>
                <w:szCs w:val="20"/>
              </w:rPr>
              <w:t xml:space="preserve">Congressional Research Service, </w:t>
            </w:r>
            <w:r w:rsidRPr="00E40FF0">
              <w:rPr>
                <w:rFonts w:cs="Times New Roman"/>
                <w:i/>
                <w:sz w:val="20"/>
                <w:szCs w:val="20"/>
              </w:rPr>
              <w:t xml:space="preserve">Introduction to Financial Services: The Consumer Financial Protection Bureau </w:t>
            </w:r>
            <w:r w:rsidRPr="00E40FF0">
              <w:rPr>
                <w:rFonts w:cs="Times New Roman"/>
                <w:iCs/>
                <w:sz w:val="20"/>
                <w:szCs w:val="20"/>
              </w:rPr>
              <w:t>(</w:t>
            </w:r>
            <w:r w:rsidRPr="00E40FF0">
              <w:rPr>
                <w:rFonts w:cs="Times New Roman"/>
                <w:sz w:val="20"/>
                <w:szCs w:val="20"/>
              </w:rPr>
              <w:t xml:space="preserve">January 13, 2022), </w:t>
            </w:r>
            <w:r w:rsidRPr="00E40FF0">
              <w:rPr>
                <w:rFonts w:cs="Times New Roman"/>
                <w:i/>
                <w:sz w:val="20"/>
                <w:szCs w:val="20"/>
              </w:rPr>
              <w:t>available</w:t>
            </w:r>
            <w:r w:rsidRPr="00E40FF0">
              <w:rPr>
                <w:rFonts w:cs="Times New Roman"/>
                <w:sz w:val="20"/>
                <w:szCs w:val="20"/>
              </w:rPr>
              <w:t xml:space="preserve"> at </w:t>
            </w:r>
            <w:hyperlink r:id="rId35" w:history="1">
              <w:r w:rsidRPr="00E40FF0">
                <w:rPr>
                  <w:rStyle w:val="Hyperlink"/>
                  <w:rFonts w:cs="Times New Roman"/>
                  <w:sz w:val="20"/>
                  <w:szCs w:val="20"/>
                </w:rPr>
                <w:t>https://sgp.fas.org/crs/misc/IF10031.pdf</w:t>
              </w:r>
            </w:hyperlink>
            <w:r w:rsidRPr="00E40FF0">
              <w:rPr>
                <w:rFonts w:cs="Times New Roman"/>
                <w:sz w:val="20"/>
                <w:szCs w:val="20"/>
              </w:rPr>
              <w:t xml:space="preserve">   </w:t>
            </w:r>
          </w:p>
          <w:p w14:paraId="5789595C" w14:textId="14AA45E4" w:rsidR="00E40FF0" w:rsidRPr="00E40FF0" w:rsidRDefault="00E40FF0" w:rsidP="00E40FF0">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lastRenderedPageBreak/>
              <w:t xml:space="preserve">15 U.S.C. </w:t>
            </w:r>
            <w:r w:rsidRPr="00E40FF0">
              <w:rPr>
                <w:rFonts w:cs="Times New Roman"/>
                <w:sz w:val="20"/>
                <w:szCs w:val="20"/>
              </w:rPr>
              <w:t>§</w:t>
            </w:r>
            <w:r>
              <w:rPr>
                <w:rFonts w:cs="Times New Roman"/>
                <w:sz w:val="20"/>
                <w:szCs w:val="20"/>
              </w:rPr>
              <w:t xml:space="preserve"> 5531, </w:t>
            </w:r>
            <w:r w:rsidRPr="00E40FF0">
              <w:rPr>
                <w:rFonts w:cs="Times New Roman"/>
                <w:i/>
                <w:iCs/>
                <w:sz w:val="20"/>
                <w:szCs w:val="20"/>
              </w:rPr>
              <w:t>available</w:t>
            </w:r>
            <w:r>
              <w:rPr>
                <w:rFonts w:cs="Times New Roman"/>
                <w:sz w:val="20"/>
                <w:szCs w:val="20"/>
              </w:rPr>
              <w:t xml:space="preserve"> at</w:t>
            </w:r>
            <w:r w:rsidRPr="00E40FF0">
              <w:rPr>
                <w:rFonts w:cs="Times New Roman"/>
                <w:sz w:val="20"/>
                <w:szCs w:val="20"/>
              </w:rPr>
              <w:t xml:space="preserve"> </w:t>
            </w:r>
            <w:hyperlink r:id="rId36" w:history="1">
              <w:r w:rsidRPr="006C1A12">
                <w:rPr>
                  <w:rStyle w:val="Hyperlink"/>
                  <w:rFonts w:cs="Times New Roman"/>
                  <w:sz w:val="20"/>
                  <w:szCs w:val="20"/>
                </w:rPr>
                <w:t>https://www.govinfo.gov/content/pkg/USCODE-2023-title12/pdf/USCODE-2023-title12-chap53-subchapV-partC-sec5531.pdf</w:t>
              </w:r>
            </w:hyperlink>
            <w:r>
              <w:rPr>
                <w:rFonts w:cs="Times New Roman"/>
                <w:sz w:val="20"/>
                <w:szCs w:val="20"/>
              </w:rPr>
              <w:t xml:space="preserve"> </w:t>
            </w:r>
          </w:p>
          <w:p w14:paraId="07BB3BD0" w14:textId="77777777" w:rsidR="00FF6FB3" w:rsidRPr="0084121C" w:rsidRDefault="00FF6FB3" w:rsidP="00FF6FB3">
            <w:pPr>
              <w:pStyle w:val="ListParagraph"/>
              <w:spacing w:line="276" w:lineRule="auto"/>
              <w:ind w:left="36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4D7E5F" w:rsidRPr="002B4C22" w14:paraId="78001E89" w14:textId="77777777" w:rsidTr="00FF6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14:paraId="5082F1F7" w14:textId="77777777" w:rsidR="00FF6FB3" w:rsidRPr="0084121C" w:rsidRDefault="00FF6FB3" w:rsidP="00FF6FB3">
            <w:pPr>
              <w:pStyle w:val="ListParagraph"/>
              <w:spacing w:line="276" w:lineRule="auto"/>
              <w:ind w:left="360"/>
              <w:rPr>
                <w:rFonts w:cs="Times New Roman"/>
                <w:b w:val="0"/>
                <w:sz w:val="20"/>
                <w:szCs w:val="20"/>
              </w:rPr>
            </w:pPr>
          </w:p>
        </w:tc>
        <w:tc>
          <w:tcPr>
            <w:tcW w:w="0" w:type="auto"/>
            <w:vMerge/>
            <w:shd w:val="clear" w:color="auto" w:fill="FFFFFF" w:themeFill="background1"/>
          </w:tcPr>
          <w:p w14:paraId="4A8974AF" w14:textId="77777777" w:rsidR="00FF6FB3" w:rsidRPr="0084121C" w:rsidRDefault="00FF6FB3" w:rsidP="00FF6FB3">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FFFFFF" w:themeFill="background1"/>
          </w:tcPr>
          <w:p w14:paraId="081D4D89" w14:textId="04B6DF54" w:rsidR="004D7E5F" w:rsidRPr="0084121C" w:rsidRDefault="00FF6FB3" w:rsidP="004D7E5F">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121C">
              <w:rPr>
                <w:rFonts w:cs="Times New Roman"/>
                <w:sz w:val="20"/>
                <w:szCs w:val="20"/>
              </w:rPr>
              <w:t>The CFPB’s recent efforts to promote consumer protection</w:t>
            </w:r>
            <w:r>
              <w:rPr>
                <w:rFonts w:cs="Times New Roman"/>
                <w:sz w:val="20"/>
                <w:szCs w:val="20"/>
              </w:rPr>
              <w:t xml:space="preserve"> </w:t>
            </w:r>
          </w:p>
          <w:p w14:paraId="0542C828" w14:textId="67344567" w:rsidR="00FF6FB3" w:rsidRPr="0084121C" w:rsidRDefault="00FF6FB3" w:rsidP="00FF6FB3">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5376DABF" w14:textId="77777777" w:rsidR="00FF6FB3" w:rsidRPr="0084121C" w:rsidRDefault="00FF6FB3" w:rsidP="00FF6FB3">
            <w:pPr>
              <w:pStyle w:val="ListParagraph"/>
              <w:spacing w:line="276" w:lineRule="auto"/>
              <w:ind w:left="36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auto"/>
            <w:shd w:val="clear" w:color="auto" w:fill="FFFFFF" w:themeFill="background1"/>
          </w:tcPr>
          <w:p w14:paraId="6E05647F" w14:textId="77777777" w:rsidR="00FF6FB3" w:rsidRDefault="00FF6FB3" w:rsidP="00FF6FB3">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CFPB, </w:t>
            </w:r>
            <w:r w:rsidRPr="00703C10">
              <w:rPr>
                <w:rFonts w:cs="Times New Roman"/>
                <w:i/>
                <w:iCs/>
                <w:sz w:val="20"/>
                <w:szCs w:val="20"/>
              </w:rPr>
              <w:t>CFPB Bans Excessive Card Late Fees, Lower Typical Fee from $32 to $8</w:t>
            </w:r>
            <w:r>
              <w:rPr>
                <w:rFonts w:cs="Times New Roman"/>
                <w:sz w:val="20"/>
                <w:szCs w:val="20"/>
              </w:rPr>
              <w:t xml:space="preserve"> (March 5, 2024), </w:t>
            </w:r>
            <w:r w:rsidRPr="00703C10">
              <w:rPr>
                <w:rFonts w:cs="Times New Roman"/>
                <w:i/>
                <w:iCs/>
                <w:sz w:val="20"/>
                <w:szCs w:val="20"/>
              </w:rPr>
              <w:t>available</w:t>
            </w:r>
            <w:r>
              <w:rPr>
                <w:rFonts w:cs="Times New Roman"/>
                <w:sz w:val="20"/>
                <w:szCs w:val="20"/>
              </w:rPr>
              <w:t xml:space="preserve"> at </w:t>
            </w:r>
            <w:hyperlink r:id="rId37" w:history="1">
              <w:r w:rsidRPr="005E43F9">
                <w:rPr>
                  <w:rStyle w:val="Hyperlink"/>
                  <w:rFonts w:cs="Times New Roman"/>
                  <w:sz w:val="20"/>
                  <w:szCs w:val="20"/>
                </w:rPr>
                <w:t>https://www.consumerfinance.gov/about-us/newsroom/cfpb-bans-excessive-credit-card-late-fees-lowers-typical-fee-from-32-to-8/</w:t>
              </w:r>
            </w:hyperlink>
            <w:r>
              <w:rPr>
                <w:rFonts w:cs="Times New Roman"/>
                <w:sz w:val="20"/>
                <w:szCs w:val="20"/>
              </w:rPr>
              <w:t xml:space="preserve">  </w:t>
            </w:r>
          </w:p>
          <w:p w14:paraId="5FED3E4B" w14:textId="77777777" w:rsidR="00FF6FB3" w:rsidRDefault="00FF6FB3" w:rsidP="00FF6FB3">
            <w:pPr>
              <w:pStyle w:val="ListParagraph"/>
              <w:numPr>
                <w:ilvl w:val="1"/>
                <w:numId w:val="3"/>
              </w:num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Bank Policy Institute</w:t>
            </w:r>
            <w:r w:rsidRPr="00947C13">
              <w:rPr>
                <w:rFonts w:cs="Times New Roman"/>
                <w:sz w:val="20"/>
                <w:szCs w:val="20"/>
              </w:rPr>
              <w:t xml:space="preserve">, </w:t>
            </w:r>
            <w:r w:rsidRPr="00947C13">
              <w:rPr>
                <w:rFonts w:cs="Times New Roman"/>
                <w:i/>
                <w:iCs/>
                <w:sz w:val="20"/>
                <w:szCs w:val="20"/>
              </w:rPr>
              <w:t>Get the Facts on Fees: Credit Card Late Fees</w:t>
            </w:r>
            <w:r>
              <w:rPr>
                <w:rFonts w:cs="Times New Roman"/>
                <w:sz w:val="20"/>
                <w:szCs w:val="20"/>
              </w:rPr>
              <w:t xml:space="preserve"> (March 5, 2024)</w:t>
            </w:r>
            <w:r w:rsidRPr="00947C13">
              <w:rPr>
                <w:rFonts w:cs="Times New Roman"/>
                <w:i/>
                <w:iCs/>
                <w:sz w:val="20"/>
                <w:szCs w:val="20"/>
              </w:rPr>
              <w:t>, available</w:t>
            </w:r>
            <w:r w:rsidRPr="00947C13">
              <w:rPr>
                <w:rFonts w:cs="Times New Roman"/>
                <w:sz w:val="20"/>
                <w:szCs w:val="20"/>
              </w:rPr>
              <w:t xml:space="preserve"> at </w:t>
            </w:r>
            <w:hyperlink r:id="rId38" w:history="1">
              <w:r w:rsidRPr="005E43F9">
                <w:rPr>
                  <w:rStyle w:val="Hyperlink"/>
                  <w:rFonts w:cs="Times New Roman"/>
                  <w:sz w:val="20"/>
                  <w:szCs w:val="20"/>
                </w:rPr>
                <w:t>https://bpi.com/credit-card-late-fees/</w:t>
              </w:r>
            </w:hyperlink>
            <w:r>
              <w:rPr>
                <w:rFonts w:cs="Times New Roman"/>
                <w:sz w:val="20"/>
                <w:szCs w:val="20"/>
              </w:rPr>
              <w:t xml:space="preserve"> </w:t>
            </w:r>
            <w:r w:rsidRPr="00947C13">
              <w:rPr>
                <w:rFonts w:cs="Times New Roman"/>
                <w:sz w:val="20"/>
                <w:szCs w:val="20"/>
              </w:rPr>
              <w:t xml:space="preserve"> </w:t>
            </w:r>
          </w:p>
          <w:p w14:paraId="2B7B9B4A" w14:textId="77777777" w:rsidR="00FF6FB3" w:rsidRDefault="00FF6FB3" w:rsidP="00FF6FB3">
            <w:pPr>
              <w:pStyle w:val="ListParagraph"/>
              <w:numPr>
                <w:ilvl w:val="1"/>
                <w:numId w:val="3"/>
              </w:num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Jonathan Stempel, </w:t>
            </w:r>
            <w:r w:rsidRPr="00947C13">
              <w:rPr>
                <w:rFonts w:cs="Times New Roman"/>
                <w:i/>
                <w:iCs/>
                <w:sz w:val="20"/>
                <w:szCs w:val="20"/>
              </w:rPr>
              <w:t>US Consumer Agency Sued by Banks, US Chamber Over Credit Card Late Fee Cap</w:t>
            </w:r>
            <w:r>
              <w:rPr>
                <w:rFonts w:cs="Times New Roman"/>
                <w:sz w:val="20"/>
                <w:szCs w:val="20"/>
              </w:rPr>
              <w:t xml:space="preserve"> (March 7, 2024), </w:t>
            </w:r>
            <w:r w:rsidRPr="00EB5942">
              <w:rPr>
                <w:rFonts w:cs="Times New Roman"/>
                <w:i/>
                <w:iCs/>
                <w:sz w:val="20"/>
                <w:szCs w:val="20"/>
              </w:rPr>
              <w:t>available</w:t>
            </w:r>
            <w:r>
              <w:rPr>
                <w:rFonts w:cs="Times New Roman"/>
                <w:sz w:val="20"/>
                <w:szCs w:val="20"/>
              </w:rPr>
              <w:t xml:space="preserve"> at </w:t>
            </w:r>
            <w:hyperlink r:id="rId39" w:history="1">
              <w:r w:rsidRPr="005E43F9">
                <w:rPr>
                  <w:rStyle w:val="Hyperlink"/>
                  <w:rFonts w:cs="Times New Roman"/>
                  <w:sz w:val="20"/>
                  <w:szCs w:val="20"/>
                </w:rPr>
                <w:t>https://www.reuters.com/legal/us-consumer-agency-sued-by-banks-us-chamber-over-credit-card-late-fee-cap-2024-03-07/</w:t>
              </w:r>
            </w:hyperlink>
            <w:r>
              <w:rPr>
                <w:rFonts w:cs="Times New Roman"/>
                <w:sz w:val="20"/>
                <w:szCs w:val="20"/>
              </w:rPr>
              <w:t xml:space="preserve"> </w:t>
            </w:r>
          </w:p>
          <w:p w14:paraId="400129C5" w14:textId="77777777" w:rsidR="00FF6FB3" w:rsidRDefault="00FF6FB3" w:rsidP="00FF6FB3">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CFPB, </w:t>
            </w:r>
            <w:r w:rsidRPr="000A26DD">
              <w:rPr>
                <w:rFonts w:cs="Times New Roman"/>
                <w:i/>
                <w:iCs/>
                <w:sz w:val="20"/>
                <w:szCs w:val="20"/>
              </w:rPr>
              <w:t>CFPB Proposes New Federal Oversight of Big Tech Companies and Other Providers of Digital Wallets and Payment Apps</w:t>
            </w:r>
            <w:r>
              <w:rPr>
                <w:rFonts w:cs="Times New Roman"/>
                <w:sz w:val="20"/>
                <w:szCs w:val="20"/>
              </w:rPr>
              <w:t xml:space="preserve"> (November 7, 2023), </w:t>
            </w:r>
            <w:r w:rsidRPr="000A26DD">
              <w:rPr>
                <w:rFonts w:cs="Times New Roman"/>
                <w:i/>
                <w:iCs/>
                <w:sz w:val="20"/>
                <w:szCs w:val="20"/>
              </w:rPr>
              <w:t>available</w:t>
            </w:r>
            <w:r>
              <w:rPr>
                <w:rFonts w:cs="Times New Roman"/>
                <w:sz w:val="20"/>
                <w:szCs w:val="20"/>
              </w:rPr>
              <w:t xml:space="preserve"> at </w:t>
            </w:r>
            <w:hyperlink r:id="rId40" w:history="1">
              <w:r w:rsidRPr="005E43F9">
                <w:rPr>
                  <w:rStyle w:val="Hyperlink"/>
                  <w:rFonts w:cs="Times New Roman"/>
                  <w:sz w:val="20"/>
                  <w:szCs w:val="20"/>
                </w:rPr>
                <w:t>https://www.consumerfinance.gov/about-us/newsroom/cfpb-proposes-new-federal-oversight-of-big-tech-companies-and-other-providers-of-digital-wallets-and-payment-apps/</w:t>
              </w:r>
            </w:hyperlink>
            <w:r>
              <w:rPr>
                <w:rFonts w:cs="Times New Roman"/>
                <w:sz w:val="20"/>
                <w:szCs w:val="20"/>
              </w:rPr>
              <w:t xml:space="preserve">  </w:t>
            </w:r>
          </w:p>
          <w:p w14:paraId="07AC33C6" w14:textId="77777777" w:rsidR="00FF6FB3" w:rsidRDefault="00FF6FB3" w:rsidP="00FF6FB3">
            <w:pPr>
              <w:pStyle w:val="ListParagraph"/>
              <w:numPr>
                <w:ilvl w:val="1"/>
                <w:numId w:val="3"/>
              </w:num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Jessica Cheng, </w:t>
            </w:r>
            <w:r w:rsidRPr="005F38C0">
              <w:rPr>
                <w:rFonts w:cs="Times New Roman"/>
                <w:i/>
                <w:iCs/>
                <w:sz w:val="20"/>
                <w:szCs w:val="20"/>
              </w:rPr>
              <w:t>CFPB Proposes New Oversight of Big Tech and Other Consumer Payment App Providers</w:t>
            </w:r>
            <w:r>
              <w:rPr>
                <w:rFonts w:cs="Times New Roman"/>
                <w:sz w:val="20"/>
                <w:szCs w:val="20"/>
              </w:rPr>
              <w:t xml:space="preserve"> (November 28, 2023), </w:t>
            </w:r>
            <w:r w:rsidRPr="005F38C0">
              <w:rPr>
                <w:rFonts w:cs="Times New Roman"/>
                <w:i/>
                <w:iCs/>
                <w:sz w:val="20"/>
                <w:szCs w:val="20"/>
              </w:rPr>
              <w:t>available</w:t>
            </w:r>
            <w:r>
              <w:rPr>
                <w:rFonts w:cs="Times New Roman"/>
                <w:sz w:val="20"/>
                <w:szCs w:val="20"/>
              </w:rPr>
              <w:t xml:space="preserve"> at </w:t>
            </w:r>
            <w:hyperlink r:id="rId41" w:history="1">
              <w:r w:rsidRPr="005E43F9">
                <w:rPr>
                  <w:rStyle w:val="Hyperlink"/>
                  <w:rFonts w:cs="Times New Roman"/>
                  <w:sz w:val="20"/>
                  <w:szCs w:val="20"/>
                </w:rPr>
                <w:t>https://www.americanbar.org/groups/business_law/resources/business-law-today/2023-december/cfpb-proposes-new-oversight-big-tech-other-consumer-payment-app-providers/</w:t>
              </w:r>
            </w:hyperlink>
            <w:r>
              <w:rPr>
                <w:rFonts w:cs="Times New Roman"/>
                <w:sz w:val="20"/>
                <w:szCs w:val="20"/>
              </w:rPr>
              <w:t xml:space="preserve">  </w:t>
            </w:r>
          </w:p>
          <w:p w14:paraId="744AF829" w14:textId="77777777" w:rsidR="00FF6FB3" w:rsidRPr="00A27B73" w:rsidRDefault="00FF6FB3" w:rsidP="00FF6FB3">
            <w:pPr>
              <w:pStyle w:val="ListParagraph"/>
              <w:numPr>
                <w:ilvl w:val="1"/>
                <w:numId w:val="3"/>
              </w:num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Reuters, </w:t>
            </w:r>
            <w:r w:rsidRPr="00A27B73">
              <w:rPr>
                <w:rFonts w:cs="Times New Roman"/>
                <w:i/>
                <w:iCs/>
                <w:sz w:val="20"/>
                <w:szCs w:val="20"/>
              </w:rPr>
              <w:t>Big Tech Rebuffs US Consumer Watchdog Plans to Supervise Digital Wallets</w:t>
            </w:r>
            <w:r>
              <w:rPr>
                <w:rFonts w:cs="Times New Roman"/>
                <w:sz w:val="20"/>
                <w:szCs w:val="20"/>
              </w:rPr>
              <w:t xml:space="preserve"> (January 8, 2024), </w:t>
            </w:r>
            <w:r w:rsidRPr="00A27B73">
              <w:rPr>
                <w:rFonts w:cs="Times New Roman"/>
                <w:i/>
                <w:iCs/>
                <w:sz w:val="20"/>
                <w:szCs w:val="20"/>
              </w:rPr>
              <w:t>available</w:t>
            </w:r>
            <w:r>
              <w:rPr>
                <w:rFonts w:cs="Times New Roman"/>
                <w:sz w:val="20"/>
                <w:szCs w:val="20"/>
              </w:rPr>
              <w:t xml:space="preserve"> at </w:t>
            </w:r>
            <w:hyperlink r:id="rId42" w:history="1">
              <w:r w:rsidRPr="005E43F9">
                <w:rPr>
                  <w:rStyle w:val="Hyperlink"/>
                  <w:rFonts w:cs="Times New Roman"/>
                  <w:sz w:val="20"/>
                  <w:szCs w:val="20"/>
                </w:rPr>
                <w:t>https://www.reuters.com/technology/big-tech-rebuffs-us-consumer-watchdog-plans-supervise-digital-wallets-2024-01-08/</w:t>
              </w:r>
            </w:hyperlink>
            <w:r>
              <w:rPr>
                <w:rFonts w:cs="Times New Roman"/>
                <w:sz w:val="20"/>
                <w:szCs w:val="20"/>
              </w:rPr>
              <w:t xml:space="preserve"> </w:t>
            </w:r>
            <w:r w:rsidRPr="00A27B73">
              <w:rPr>
                <w:rFonts w:cs="Times New Roman"/>
                <w:sz w:val="20"/>
                <w:szCs w:val="20"/>
              </w:rPr>
              <w:t xml:space="preserve"> </w:t>
            </w:r>
          </w:p>
          <w:p w14:paraId="0E76A0B6" w14:textId="77777777" w:rsidR="00FF6FB3" w:rsidRPr="0084121C" w:rsidRDefault="00FF6FB3" w:rsidP="00FF6FB3">
            <w:pPr>
              <w:pStyle w:val="ListParagraph"/>
              <w:spacing w:line="276" w:lineRule="auto"/>
              <w:ind w:left="36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4D7E5F" w:rsidRPr="002B4C22" w14:paraId="1FF29249" w14:textId="77777777" w:rsidTr="00F303FA">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14:paraId="37A0655B" w14:textId="77777777" w:rsidR="00FF6FB3" w:rsidRPr="0084121C" w:rsidRDefault="00FF6FB3" w:rsidP="00F303FA">
            <w:pPr>
              <w:pStyle w:val="ListParagraph"/>
              <w:spacing w:line="276" w:lineRule="auto"/>
              <w:ind w:left="360"/>
              <w:rPr>
                <w:rFonts w:cs="Times New Roman"/>
                <w:b w:val="0"/>
                <w:sz w:val="20"/>
                <w:szCs w:val="20"/>
              </w:rPr>
            </w:pPr>
          </w:p>
        </w:tc>
        <w:tc>
          <w:tcPr>
            <w:tcW w:w="0" w:type="auto"/>
            <w:vMerge/>
            <w:shd w:val="clear" w:color="auto" w:fill="FFFFFF" w:themeFill="background1"/>
          </w:tcPr>
          <w:p w14:paraId="1F5D2A01" w14:textId="77777777" w:rsidR="00FF6FB3" w:rsidRPr="0084121C" w:rsidRDefault="00FF6FB3" w:rsidP="00F303FA">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FFFFFF" w:themeFill="background1"/>
          </w:tcPr>
          <w:p w14:paraId="542128F3" w14:textId="76A259BA" w:rsidR="00FF6FB3" w:rsidRPr="004D7E5F" w:rsidRDefault="00FF6FB3" w:rsidP="00F303FA">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D7E5F">
              <w:rPr>
                <w:rFonts w:cs="Times New Roman"/>
                <w:sz w:val="20"/>
                <w:szCs w:val="20"/>
              </w:rPr>
              <w:t xml:space="preserve">Are cryptoassets securities? </w:t>
            </w:r>
          </w:p>
          <w:p w14:paraId="172CE226" w14:textId="77777777" w:rsidR="00FF6FB3" w:rsidRPr="0084121C" w:rsidRDefault="00FF6FB3" w:rsidP="00F303FA">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auto"/>
            <w:shd w:val="clear" w:color="auto" w:fill="FFFFFF" w:themeFill="background1"/>
          </w:tcPr>
          <w:p w14:paraId="2FEC868D" w14:textId="77777777" w:rsidR="00FF6FB3" w:rsidRPr="0084121C" w:rsidRDefault="00FF6FB3" w:rsidP="00FF6FB3">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Securities and Exchange Commission, </w:t>
            </w:r>
            <w:r w:rsidRPr="007300F5">
              <w:rPr>
                <w:rFonts w:cs="Times New Roman"/>
                <w:i/>
                <w:iCs/>
                <w:sz w:val="20"/>
                <w:szCs w:val="20"/>
              </w:rPr>
              <w:t>Framework for “Investment Contract” Analysis of Digital Assets</w:t>
            </w:r>
            <w:r>
              <w:rPr>
                <w:rFonts w:cs="Times New Roman"/>
                <w:sz w:val="20"/>
                <w:szCs w:val="20"/>
              </w:rPr>
              <w:t xml:space="preserve">, </w:t>
            </w:r>
            <w:r w:rsidRPr="00EB5942">
              <w:rPr>
                <w:rFonts w:cs="Times New Roman"/>
                <w:i/>
                <w:iCs/>
                <w:sz w:val="20"/>
                <w:szCs w:val="20"/>
              </w:rPr>
              <w:t>available</w:t>
            </w:r>
            <w:r>
              <w:rPr>
                <w:rFonts w:cs="Times New Roman"/>
                <w:sz w:val="20"/>
                <w:szCs w:val="20"/>
              </w:rPr>
              <w:t xml:space="preserve"> at </w:t>
            </w:r>
            <w:hyperlink r:id="rId43" w:history="1">
              <w:r w:rsidRPr="005E43F9">
                <w:rPr>
                  <w:rStyle w:val="Hyperlink"/>
                  <w:rFonts w:cs="Times New Roman"/>
                  <w:sz w:val="20"/>
                  <w:szCs w:val="20"/>
                </w:rPr>
                <w:t>https://www.sec.gov/corpfin/framework-investment-contract-analysis-digital-assets</w:t>
              </w:r>
            </w:hyperlink>
            <w:r>
              <w:rPr>
                <w:rFonts w:cs="Times New Roman"/>
                <w:sz w:val="20"/>
                <w:szCs w:val="20"/>
              </w:rPr>
              <w:t xml:space="preserve">   </w:t>
            </w:r>
          </w:p>
        </w:tc>
      </w:tr>
    </w:tbl>
    <w:p w14:paraId="37E2C3CD" w14:textId="77777777" w:rsidR="00FF6FB3" w:rsidRPr="00FF6FB3" w:rsidRDefault="00FF6FB3" w:rsidP="00FF6FB3">
      <w:pPr>
        <w:spacing w:line="256" w:lineRule="auto"/>
        <w:rPr>
          <w:rFonts w:cs="Times New Roman"/>
          <w:sz w:val="20"/>
          <w:szCs w:val="20"/>
        </w:rPr>
      </w:pPr>
    </w:p>
    <w:p w14:paraId="73F10DBD" w14:textId="77777777" w:rsidR="00FF6FB3" w:rsidRDefault="00FF6FB3">
      <w:pPr>
        <w:rPr>
          <w:sz w:val="20"/>
          <w:szCs w:val="20"/>
        </w:rPr>
      </w:pPr>
      <w:r w:rsidRPr="00FF6FB3">
        <w:rPr>
          <w:sz w:val="20"/>
          <w:szCs w:val="20"/>
        </w:rPr>
        <w:t>* Pertains to the CFPB, not cryptoassets.  Moved to accommodate a guest speaker.</w:t>
      </w:r>
      <w:r>
        <w:rPr>
          <w:sz w:val="20"/>
          <w:szCs w:val="20"/>
        </w:rPr>
        <w:t xml:space="preserve">  </w:t>
      </w:r>
    </w:p>
    <w:p w14:paraId="082EF893" w14:textId="787D2493" w:rsidR="00FF6FB3" w:rsidRPr="00FF6FB3" w:rsidRDefault="00FF6FB3">
      <w:pPr>
        <w:rPr>
          <w:sz w:val="20"/>
          <w:szCs w:val="20"/>
        </w:rPr>
      </w:pPr>
      <w:r w:rsidRPr="00FF6FB3">
        <w:rPr>
          <w:sz w:val="20"/>
          <w:szCs w:val="20"/>
        </w:rPr>
        <w:t>** Pertains to cryptoassets, not the CFPB.  Moved to accommodate a guest speaker.</w:t>
      </w:r>
    </w:p>
    <w:sectPr w:rsidR="00FF6FB3" w:rsidRPr="00FF6FB3" w:rsidSect="002B4C22">
      <w:endnotePr>
        <w:numFmt w:val="decimal"/>
      </w:endnotePr>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95A55" w14:textId="77777777" w:rsidR="00640B11" w:rsidRDefault="00640B11">
      <w:pPr>
        <w:spacing w:after="0" w:line="240" w:lineRule="auto"/>
      </w:pPr>
      <w:r>
        <w:separator/>
      </w:r>
    </w:p>
  </w:endnote>
  <w:endnote w:type="continuationSeparator" w:id="0">
    <w:p w14:paraId="598064A1" w14:textId="77777777" w:rsidR="00640B11" w:rsidRDefault="0064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878043768"/>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14:paraId="66A990F6" w14:textId="77777777" w:rsidR="00565DDF" w:rsidRPr="00F4102E" w:rsidRDefault="00565DDF">
            <w:pPr>
              <w:pStyle w:val="Footer"/>
              <w:jc w:val="center"/>
              <w:rPr>
                <w:sz w:val="22"/>
                <w:szCs w:val="22"/>
              </w:rPr>
            </w:pPr>
            <w:r w:rsidRPr="00F4102E">
              <w:rPr>
                <w:sz w:val="22"/>
                <w:szCs w:val="22"/>
              </w:rPr>
              <w:t xml:space="preserve">Page </w:t>
            </w:r>
            <w:r w:rsidRPr="00F4102E">
              <w:rPr>
                <w:b/>
                <w:bCs/>
                <w:sz w:val="22"/>
                <w:szCs w:val="22"/>
              </w:rPr>
              <w:fldChar w:fldCharType="begin"/>
            </w:r>
            <w:r w:rsidRPr="00F4102E">
              <w:rPr>
                <w:b/>
                <w:bCs/>
                <w:sz w:val="22"/>
                <w:szCs w:val="22"/>
              </w:rPr>
              <w:instrText xml:space="preserve"> PAGE </w:instrText>
            </w:r>
            <w:r w:rsidRPr="00F4102E">
              <w:rPr>
                <w:b/>
                <w:bCs/>
                <w:sz w:val="22"/>
                <w:szCs w:val="22"/>
              </w:rPr>
              <w:fldChar w:fldCharType="separate"/>
            </w:r>
            <w:r>
              <w:rPr>
                <w:b/>
                <w:bCs/>
                <w:noProof/>
                <w:sz w:val="22"/>
                <w:szCs w:val="22"/>
              </w:rPr>
              <w:t>1</w:t>
            </w:r>
            <w:r w:rsidRPr="00F4102E">
              <w:rPr>
                <w:b/>
                <w:bCs/>
                <w:sz w:val="22"/>
                <w:szCs w:val="22"/>
              </w:rPr>
              <w:fldChar w:fldCharType="end"/>
            </w:r>
            <w:r w:rsidRPr="00F4102E">
              <w:rPr>
                <w:sz w:val="22"/>
                <w:szCs w:val="22"/>
              </w:rPr>
              <w:t xml:space="preserve"> of </w:t>
            </w:r>
            <w:r w:rsidRPr="00F4102E">
              <w:rPr>
                <w:b/>
                <w:bCs/>
                <w:sz w:val="22"/>
                <w:szCs w:val="22"/>
              </w:rPr>
              <w:fldChar w:fldCharType="begin"/>
            </w:r>
            <w:r w:rsidRPr="00F4102E">
              <w:rPr>
                <w:b/>
                <w:bCs/>
                <w:sz w:val="22"/>
                <w:szCs w:val="22"/>
              </w:rPr>
              <w:instrText xml:space="preserve"> NUMPAGES  </w:instrText>
            </w:r>
            <w:r w:rsidRPr="00F4102E">
              <w:rPr>
                <w:b/>
                <w:bCs/>
                <w:sz w:val="22"/>
                <w:szCs w:val="22"/>
              </w:rPr>
              <w:fldChar w:fldCharType="separate"/>
            </w:r>
            <w:r>
              <w:rPr>
                <w:b/>
                <w:bCs/>
                <w:noProof/>
                <w:sz w:val="22"/>
                <w:szCs w:val="22"/>
              </w:rPr>
              <w:t>9</w:t>
            </w:r>
            <w:r w:rsidRPr="00F4102E">
              <w:rPr>
                <w:b/>
                <w:bCs/>
                <w:sz w:val="22"/>
                <w:szCs w:val="22"/>
              </w:rPr>
              <w:fldChar w:fldCharType="end"/>
            </w:r>
          </w:p>
        </w:sdtContent>
      </w:sdt>
    </w:sdtContent>
  </w:sdt>
  <w:p w14:paraId="122B2089" w14:textId="77777777" w:rsidR="00565DDF" w:rsidRDefault="00565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26CBB" w14:textId="77777777" w:rsidR="00640B11" w:rsidRDefault="00640B11">
      <w:pPr>
        <w:spacing w:after="0" w:line="240" w:lineRule="auto"/>
      </w:pPr>
      <w:r>
        <w:separator/>
      </w:r>
    </w:p>
  </w:footnote>
  <w:footnote w:type="continuationSeparator" w:id="0">
    <w:p w14:paraId="117B05C0" w14:textId="77777777" w:rsidR="00640B11" w:rsidRDefault="00640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E5BAE" w14:textId="77777777" w:rsidR="00565DDF" w:rsidRDefault="00565DDF" w:rsidP="00197094">
    <w:pPr>
      <w:pStyle w:val="Header"/>
      <w:jc w:val="right"/>
      <w:rPr>
        <w:i/>
        <w:sz w:val="22"/>
        <w:szCs w:val="22"/>
      </w:rPr>
    </w:pPr>
    <w:r>
      <w:rPr>
        <w:i/>
        <w:sz w:val="22"/>
        <w:szCs w:val="22"/>
      </w:rPr>
      <w:t>Adjunct Professors Stephen Liverpool and Gareth McKibben</w:t>
    </w:r>
  </w:p>
  <w:p w14:paraId="378FCB46" w14:textId="77777777" w:rsidR="00565DDF" w:rsidRPr="00197094" w:rsidRDefault="00565DDF" w:rsidP="00197094">
    <w:pPr>
      <w:pStyle w:val="Header"/>
      <w:jc w:val="right"/>
      <w:rPr>
        <w:i/>
        <w:sz w:val="22"/>
        <w:szCs w:val="22"/>
      </w:rPr>
    </w:pPr>
    <w:r w:rsidRPr="00197094">
      <w:rPr>
        <w:i/>
        <w:sz w:val="22"/>
        <w:szCs w:val="22"/>
      </w:rPr>
      <w:t>Emerging Issues in Financial Regulation</w:t>
    </w:r>
  </w:p>
  <w:p w14:paraId="22760496" w14:textId="77777777" w:rsidR="00565DDF" w:rsidRPr="00197094" w:rsidRDefault="00565DDF" w:rsidP="00197094">
    <w:pPr>
      <w:pStyle w:val="Header"/>
      <w:jc w:val="right"/>
      <w:rPr>
        <w:i/>
        <w:sz w:val="22"/>
        <w:szCs w:val="22"/>
      </w:rPr>
    </w:pPr>
    <w:r w:rsidRPr="00197094">
      <w:rPr>
        <w:i/>
        <w:sz w:val="22"/>
        <w:szCs w:val="22"/>
      </w:rPr>
      <w:t>Compressed Course</w:t>
    </w:r>
  </w:p>
  <w:p w14:paraId="249AC543" w14:textId="77777777" w:rsidR="00565DDF" w:rsidRPr="00197094" w:rsidRDefault="00565DDF" w:rsidP="00197094">
    <w:pPr>
      <w:pStyle w:val="Header"/>
      <w:jc w:val="right"/>
      <w:rPr>
        <w:i/>
        <w:sz w:val="22"/>
        <w:szCs w:val="22"/>
      </w:rPr>
    </w:pPr>
    <w:r w:rsidRPr="00197094">
      <w:rPr>
        <w:i/>
        <w:sz w:val="22"/>
        <w:szCs w:val="22"/>
      </w:rPr>
      <w:t>University of Florida, Levin College of Law</w:t>
    </w:r>
  </w:p>
  <w:p w14:paraId="608E5BDA" w14:textId="77777777" w:rsidR="00565DDF" w:rsidRPr="004F110E" w:rsidRDefault="00565DDF" w:rsidP="00197094">
    <w:pPr>
      <w:pStyle w:val="Header"/>
      <w:jc w:val="right"/>
      <w:rPr>
        <w:i/>
        <w:sz w:val="22"/>
        <w:szCs w:val="22"/>
      </w:rPr>
    </w:pPr>
    <w:r>
      <w:rPr>
        <w:i/>
        <w:sz w:val="22"/>
        <w:szCs w:val="22"/>
      </w:rPr>
      <w:t>August 12-15, 2024</w:t>
    </w:r>
  </w:p>
  <w:p w14:paraId="5066A318" w14:textId="77777777" w:rsidR="00565DDF" w:rsidRPr="00197094" w:rsidRDefault="00565DDF" w:rsidP="00197094">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952A2"/>
    <w:multiLevelType w:val="hybridMultilevel"/>
    <w:tmpl w:val="5770BC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115215"/>
    <w:multiLevelType w:val="hybridMultilevel"/>
    <w:tmpl w:val="27903E66"/>
    <w:lvl w:ilvl="0" w:tplc="04090001">
      <w:start w:val="1"/>
      <w:numFmt w:val="bullet"/>
      <w:lvlText w:val=""/>
      <w:lvlJc w:val="left"/>
      <w:pPr>
        <w:ind w:left="360" w:hanging="360"/>
      </w:pPr>
      <w:rPr>
        <w:rFonts w:ascii="Symbol" w:hAnsi="Symbol" w:hint="default"/>
        <w:color w:val="auto"/>
      </w:rPr>
    </w:lvl>
    <w:lvl w:ilvl="1" w:tplc="7368CF20">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487106"/>
    <w:multiLevelType w:val="hybridMultilevel"/>
    <w:tmpl w:val="9CFC1250"/>
    <w:lvl w:ilvl="0" w:tplc="E23EEA0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801D34"/>
    <w:multiLevelType w:val="hybridMultilevel"/>
    <w:tmpl w:val="2BDE33CE"/>
    <w:lvl w:ilvl="0" w:tplc="8B3CED14">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18023958">
    <w:abstractNumId w:val="1"/>
  </w:num>
  <w:num w:numId="2" w16cid:durableId="2127968902">
    <w:abstractNumId w:val="2"/>
  </w:num>
  <w:num w:numId="3" w16cid:durableId="1674531042">
    <w:abstractNumId w:val="0"/>
  </w:num>
  <w:num w:numId="4" w16cid:durableId="1078097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B3"/>
    <w:rsid w:val="00047999"/>
    <w:rsid w:val="0017431C"/>
    <w:rsid w:val="00180593"/>
    <w:rsid w:val="00190093"/>
    <w:rsid w:val="00196392"/>
    <w:rsid w:val="0046033C"/>
    <w:rsid w:val="004D7E5F"/>
    <w:rsid w:val="00565DDF"/>
    <w:rsid w:val="005A404A"/>
    <w:rsid w:val="00640B11"/>
    <w:rsid w:val="008B52AD"/>
    <w:rsid w:val="0095794D"/>
    <w:rsid w:val="00AB3A43"/>
    <w:rsid w:val="00B200A0"/>
    <w:rsid w:val="00C06B60"/>
    <w:rsid w:val="00CC02E0"/>
    <w:rsid w:val="00DD2E2A"/>
    <w:rsid w:val="00E40FF0"/>
    <w:rsid w:val="00FF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DC75"/>
  <w15:chartTrackingRefBased/>
  <w15:docId w15:val="{25390153-7828-4FC5-AC38-E26FB449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FB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CC02E0"/>
    <w:pPr>
      <w:spacing w:after="0" w:line="240" w:lineRule="auto"/>
      <w:contextualSpacing/>
      <w:jc w:val="center"/>
    </w:pPr>
    <w:rPr>
      <w:rFonts w:cs="Times New Roman"/>
      <w:b/>
    </w:rPr>
  </w:style>
  <w:style w:type="character" w:customStyle="1" w:styleId="Style1Char">
    <w:name w:val="Style1 Char"/>
    <w:basedOn w:val="DefaultParagraphFont"/>
    <w:link w:val="Style1"/>
    <w:rsid w:val="00CC02E0"/>
    <w:rPr>
      <w:rFonts w:ascii="Times New Roman" w:hAnsi="Times New Roman" w:cs="Times New Roman"/>
      <w:b/>
    </w:rPr>
  </w:style>
  <w:style w:type="character" w:styleId="SubtleEmphasis">
    <w:name w:val="Subtle Emphasis"/>
    <w:basedOn w:val="DefaultParagraphFont"/>
    <w:uiPriority w:val="19"/>
    <w:qFormat/>
    <w:rsid w:val="005A404A"/>
    <w:rPr>
      <w:rFonts w:ascii="Times New Roman" w:hAnsi="Times New Roman"/>
      <w:i w:val="0"/>
      <w:iCs/>
      <w:color w:val="404040" w:themeColor="text1" w:themeTint="BF"/>
      <w:sz w:val="22"/>
    </w:rPr>
  </w:style>
  <w:style w:type="paragraph" w:styleId="ListParagraph">
    <w:name w:val="List Paragraph"/>
    <w:basedOn w:val="Normal"/>
    <w:uiPriority w:val="34"/>
    <w:qFormat/>
    <w:rsid w:val="00FF6FB3"/>
    <w:pPr>
      <w:ind w:left="720"/>
      <w:contextualSpacing/>
    </w:pPr>
  </w:style>
  <w:style w:type="character" w:styleId="Hyperlink">
    <w:name w:val="Hyperlink"/>
    <w:basedOn w:val="DefaultParagraphFont"/>
    <w:uiPriority w:val="99"/>
    <w:unhideWhenUsed/>
    <w:rsid w:val="00FF6FB3"/>
    <w:rPr>
      <w:color w:val="0563C1" w:themeColor="hyperlink"/>
      <w:u w:val="single"/>
    </w:rPr>
  </w:style>
  <w:style w:type="table" w:styleId="GridTable2-Accent6">
    <w:name w:val="Grid Table 2 Accent 6"/>
    <w:basedOn w:val="TableNormal"/>
    <w:uiPriority w:val="47"/>
    <w:rsid w:val="00FF6FB3"/>
    <w:pPr>
      <w:spacing w:after="0" w:line="240" w:lineRule="auto"/>
    </w:pPr>
    <w:rPr>
      <w:kern w:val="0"/>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FF6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FB3"/>
    <w:rPr>
      <w:kern w:val="0"/>
      <w14:ligatures w14:val="none"/>
    </w:rPr>
  </w:style>
  <w:style w:type="paragraph" w:styleId="Footer">
    <w:name w:val="footer"/>
    <w:basedOn w:val="Normal"/>
    <w:link w:val="FooterChar"/>
    <w:uiPriority w:val="99"/>
    <w:unhideWhenUsed/>
    <w:rsid w:val="00FF6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FB3"/>
    <w:rPr>
      <w:kern w:val="0"/>
      <w14:ligatures w14:val="none"/>
    </w:rPr>
  </w:style>
  <w:style w:type="character" w:styleId="UnresolvedMention">
    <w:name w:val="Unresolved Mention"/>
    <w:basedOn w:val="DefaultParagraphFont"/>
    <w:uiPriority w:val="99"/>
    <w:semiHidden/>
    <w:unhideWhenUsed/>
    <w:rsid w:val="00E40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fl.bluera.com/ufl/" TargetMode="External"/><Relationship Id="rId18" Type="http://schemas.openxmlformats.org/officeDocument/2006/relationships/hyperlink" Target="https://papers.ssrn.com/sol3/papers.cfm?abstract_id=2778111" TargetMode="External"/><Relationship Id="rId26" Type="http://schemas.openxmlformats.org/officeDocument/2006/relationships/hyperlink" Target="https://www.federalreservehistory.org/essays/emergency-lending-13-3" TargetMode="External"/><Relationship Id="rId39" Type="http://schemas.openxmlformats.org/officeDocument/2006/relationships/hyperlink" Target="https://www.reuters.com/legal/us-consumer-agency-sued-by-banks-us-chamber-over-credit-card-late-fee-cap-2024-03-07/" TargetMode="External"/><Relationship Id="rId21" Type="http://schemas.openxmlformats.org/officeDocument/2006/relationships/hyperlink" Target="https://papers.ssrn.com/sol3/papers.cfm?abstract_id=757010" TargetMode="External"/><Relationship Id="rId34" Type="http://schemas.openxmlformats.org/officeDocument/2006/relationships/hyperlink" Target="http://www.bu.edu/rbfl/files/2013/10/Levitin.pdf" TargetMode="External"/><Relationship Id="rId42" Type="http://schemas.openxmlformats.org/officeDocument/2006/relationships/hyperlink" Target="https://www.reuters.com/technology/big-tech-rebuffs-us-consumer-watchdog-plans-supervise-digital-wallets-2024-01-08/" TargetMode="External"/><Relationship Id="rId7" Type="http://schemas.openxmlformats.org/officeDocument/2006/relationships/hyperlink" Target="https://elearning.ufl.edu/"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s://www.dummies.com/article/business-careers-money/personal-finance/cryptocurrency/what-is-cryptocurrency-2375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ability.ufl.edu/get-started/" TargetMode="External"/><Relationship Id="rId24" Type="http://schemas.openxmlformats.org/officeDocument/2006/relationships/hyperlink" Target="https://crsreports.congress.gov/product/pdf/IF/IF10055" TargetMode="External"/><Relationship Id="rId32" Type="http://schemas.openxmlformats.org/officeDocument/2006/relationships/hyperlink" Target="https://www.supremecourt.gov/opinions/23pdf/22-448_o7jp.pdf" TargetMode="External"/><Relationship Id="rId37" Type="http://schemas.openxmlformats.org/officeDocument/2006/relationships/hyperlink" Target="https://www.consumerfinance.gov/about-us/newsroom/cfpb-bans-excessive-credit-card-late-fees-lowers-typical-fee-from-32-to-8/" TargetMode="External"/><Relationship Id="rId40" Type="http://schemas.openxmlformats.org/officeDocument/2006/relationships/hyperlink" Target="https://www.consumerfinance.gov/about-us/newsroom/cfpb-proposes-new-federal-oversight-of-big-tech-companies-and-other-providers-of-digital-wallets-and-payment-app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fl.instructure.com/courses/427635/files/74674656?wrap=1" TargetMode="External"/><Relationship Id="rId23" Type="http://schemas.openxmlformats.org/officeDocument/2006/relationships/hyperlink" Target="https://crsreports.congress.gov/product/pdf/IF/IF12378" TargetMode="External"/><Relationship Id="rId28" Type="http://schemas.openxmlformats.org/officeDocument/2006/relationships/hyperlink" Target="https://www.bankofengland.co.uk/knowledgebank/what-are-cryptocurrencies" TargetMode="External"/><Relationship Id="rId36" Type="http://schemas.openxmlformats.org/officeDocument/2006/relationships/hyperlink" Target="https://www.govinfo.gov/content/pkg/USCODE-2023-title12/pdf/USCODE-2023-title12-chap53-subchapV-partC-sec5531.pdf" TargetMode="External"/><Relationship Id="rId10" Type="http://schemas.openxmlformats.org/officeDocument/2006/relationships/hyperlink" Target="https://www.law.ufl.edu/life-at-uf-law/office-of-student-affairs/current-students/uf-law-student-handbook-and-academic-policies" TargetMode="External"/><Relationship Id="rId19" Type="http://schemas.openxmlformats.org/officeDocument/2006/relationships/hyperlink" Target="https://www.nber.org/system/files/working_papers/w17443/w17443.pdf" TargetMode="External"/><Relationship Id="rId31" Type="http://schemas.openxmlformats.org/officeDocument/2006/relationships/hyperlink" Target="https://us.practicallaw.thomsonreuters.com/w-043-0077?transitionType=Default&amp;contextData=(sc.Default)&amp;VR=3.0&amp;RS=cblt1.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w.ufl.edu/life-at-uf-law/office-of-student-affairs/current-students/forms-applications/exam-delays-accommodations-form" TargetMode="External"/><Relationship Id="rId14" Type="http://schemas.openxmlformats.org/officeDocument/2006/relationships/hyperlink" Target="https://gatorevals.aa.ufl.edu/public-results/" TargetMode="External"/><Relationship Id="rId22" Type="http://schemas.openxmlformats.org/officeDocument/2006/relationships/hyperlink" Target="https://www.richmondfed.org/publications/research/economic_brief/2023/eb_23-35" TargetMode="External"/><Relationship Id="rId27" Type="http://schemas.openxmlformats.org/officeDocument/2006/relationships/hyperlink" Target="https://www2.deloitte.com/us/en/pages/regulatory/articles/banking-regulatory-outlook.html" TargetMode="External"/><Relationship Id="rId30" Type="http://schemas.openxmlformats.org/officeDocument/2006/relationships/hyperlink" Target="https://amlbot.com/wp-content/uploads/2020/05/IPOL_STU2020648779_EN.pdf" TargetMode="External"/><Relationship Id="rId35" Type="http://schemas.openxmlformats.org/officeDocument/2006/relationships/hyperlink" Target="https://sgp.fas.org/crs/misc/IF10031.pdf" TargetMode="External"/><Relationship Id="rId43" Type="http://schemas.openxmlformats.org/officeDocument/2006/relationships/hyperlink" Target="https://www.sec.gov/corpfin/framework-investment-contract-analysis-digital-assets" TargetMode="External"/><Relationship Id="rId8" Type="http://schemas.openxmlformats.org/officeDocument/2006/relationships/hyperlink" Target="https://www.law.ufl.edu/life-at-uf-law/office-of-student-affairs/current-students/uf-law-student-handbook-and-academic-policies" TargetMode="External"/><Relationship Id="rId3" Type="http://schemas.openxmlformats.org/officeDocument/2006/relationships/settings" Target="settings.xml"/><Relationship Id="rId12" Type="http://schemas.openxmlformats.org/officeDocument/2006/relationships/hyperlink" Target="https://gatorevals.aa.ufl.edu/students/" TargetMode="External"/><Relationship Id="rId17" Type="http://schemas.openxmlformats.org/officeDocument/2006/relationships/footer" Target="footer1.xml"/><Relationship Id="rId25" Type="http://schemas.openxmlformats.org/officeDocument/2006/relationships/hyperlink" Target="https://www.federalreserve.gov/newsevents/pressreleases/monetary20230312a.htm" TargetMode="External"/><Relationship Id="rId33" Type="http://schemas.openxmlformats.org/officeDocument/2006/relationships/hyperlink" Target="https://www.sullcrom.com/SullivanCromwell/_Assets/PDFs/Memos/Supreme-Court-Holds-CFPB-Funding-Constitutional.pdf" TargetMode="External"/><Relationship Id="rId38" Type="http://schemas.openxmlformats.org/officeDocument/2006/relationships/hyperlink" Target="https://bpi.com/credit-card-late-fees/" TargetMode="External"/><Relationship Id="rId20" Type="http://schemas.openxmlformats.org/officeDocument/2006/relationships/hyperlink" Target="https://sgp.fas.org/crs/misc/R44918.pdf" TargetMode="External"/><Relationship Id="rId41" Type="http://schemas.openxmlformats.org/officeDocument/2006/relationships/hyperlink" Target="https://www.americanbar.org/groups/business_law/resources/business-law-today/2023-december/cfpb-proposes-new-oversight-big-tech-other-consumer-payment-app-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2259</Words>
  <Characters>12878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Raymond James Financial, Inc.</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McKibben</dc:creator>
  <cp:keywords/>
  <dc:description/>
  <cp:lastModifiedBy>McIlhenny, Ruth M.</cp:lastModifiedBy>
  <cp:revision>2</cp:revision>
  <dcterms:created xsi:type="dcterms:W3CDTF">2024-08-02T16:34:00Z</dcterms:created>
  <dcterms:modified xsi:type="dcterms:W3CDTF">2024-08-02T16:34:00Z</dcterms:modified>
</cp:coreProperties>
</file>